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137795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132715</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4080" w:right="2720" w:hanging="4072"/>
        <w:spacing w:after="0" w:line="338" w:lineRule="auto"/>
        <w:tabs>
          <w:tab w:leader="none" w:pos="5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89" w:lineRule="exact"/>
        <w:rPr>
          <w:sz w:val="24"/>
          <w:szCs w:val="24"/>
          <w:color w:val="auto"/>
        </w:rPr>
      </w:pPr>
    </w:p>
    <w:p>
      <w:pPr>
        <w:ind w:left="4340" w:right="2380" w:hanging="4332"/>
        <w:spacing w:after="0" w:line="223" w:lineRule="auto"/>
        <w:tabs>
          <w:tab w:leader="none" w:pos="569"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98425</wp:posOffset>
            </wp:positionV>
            <wp:extent cx="1045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MASTECH DIGITAL, INC.</w:t>
      </w:r>
    </w:p>
    <w:p>
      <w:pPr>
        <w:spacing w:after="0" w:line="53"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4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380" w:type="dxa"/>
            <w:vAlign w:val="bottom"/>
            <w:gridSpan w:val="3"/>
            <w:vMerge w:val="restart"/>
          </w:tcPr>
          <w:p>
            <w:pPr>
              <w:jc w:val="center"/>
              <w:ind w:left="343"/>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16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60" w:type="dxa"/>
            <w:vAlign w:val="bottom"/>
            <w:gridSpan w:val="2"/>
            <w:vMerge w:val="restart"/>
          </w:tcPr>
          <w:p>
            <w:pPr>
              <w:jc w:val="right"/>
              <w:ind w:right="1986"/>
              <w:spacing w:after="0"/>
              <w:rPr>
                <w:sz w:val="20"/>
                <w:szCs w:val="20"/>
                <w:color w:val="auto"/>
              </w:rPr>
            </w:pPr>
            <w:r>
              <w:rPr>
                <w:rFonts w:ascii="Times New Roman" w:cs="Times New Roman" w:eastAsia="Times New Roman" w:hAnsi="Times New Roman"/>
                <w:sz w:val="16"/>
                <w:szCs w:val="16"/>
                <w:b w:val="1"/>
                <w:bCs w:val="1"/>
                <w:color w:val="auto"/>
              </w:rPr>
              <w:t>26-2753540</w:t>
            </w:r>
          </w:p>
        </w:tc>
        <w:tc>
          <w:tcPr>
            <w:tcW w:w="0" w:type="dxa"/>
            <w:vAlign w:val="bottom"/>
          </w:tcPr>
          <w:p>
            <w:pPr>
              <w:spacing w:after="0"/>
              <w:rPr>
                <w:sz w:val="1"/>
                <w:szCs w:val="1"/>
                <w:color w:val="auto"/>
              </w:rPr>
            </w:pPr>
          </w:p>
        </w:tc>
      </w:tr>
      <w:tr>
        <w:trPr>
          <w:trHeight w:val="252"/>
        </w:trPr>
        <w:tc>
          <w:tcPr>
            <w:tcW w:w="4380" w:type="dxa"/>
            <w:vAlign w:val="bottom"/>
            <w:gridSpan w:val="3"/>
            <w:vMerge w:val="continue"/>
          </w:tcPr>
          <w:p>
            <w:pPr>
              <w:spacing w:after="0"/>
              <w:rPr>
                <w:sz w:val="21"/>
                <w:szCs w:val="21"/>
                <w:color w:val="auto"/>
              </w:rPr>
            </w:pPr>
          </w:p>
        </w:tc>
        <w:tc>
          <w:tcPr>
            <w:tcW w:w="1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jc w:val="center"/>
              <w:ind w:left="34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60" w:type="dxa"/>
            <w:vAlign w:val="bottom"/>
            <w:gridSpan w:val="2"/>
          </w:tcPr>
          <w:p>
            <w:pPr>
              <w:jc w:val="center"/>
              <w:ind w:right="174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80" w:type="dxa"/>
            <w:vAlign w:val="bottom"/>
            <w:gridSpan w:val="3"/>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gridSpan w:val="2"/>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4380" w:type="dxa"/>
            <w:vAlign w:val="bottom"/>
            <w:gridSpan w:val="3"/>
          </w:tcPr>
          <w:p>
            <w:pPr>
              <w:jc w:val="center"/>
              <w:ind w:left="343"/>
              <w:spacing w:after="0"/>
              <w:rPr>
                <w:sz w:val="20"/>
                <w:szCs w:val="20"/>
                <w:color w:val="auto"/>
              </w:rPr>
            </w:pPr>
            <w:r>
              <w:rPr>
                <w:rFonts w:ascii="Times New Roman" w:cs="Times New Roman" w:eastAsia="Times New Roman" w:hAnsi="Times New Roman"/>
                <w:sz w:val="16"/>
                <w:szCs w:val="16"/>
                <w:b w:val="1"/>
                <w:bCs w:val="1"/>
                <w:color w:val="auto"/>
              </w:rPr>
              <w:t>1305 Cherrington Parkway, Building 210, Suite 400</w:t>
            </w:r>
          </w:p>
        </w:tc>
        <w:tc>
          <w:tcPr>
            <w:tcW w:w="1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80" w:type="dxa"/>
            <w:vAlign w:val="bottom"/>
            <w:gridSpan w:val="3"/>
          </w:tcPr>
          <w:p>
            <w:pPr>
              <w:jc w:val="center"/>
              <w:ind w:left="323"/>
              <w:spacing w:after="0"/>
              <w:rPr>
                <w:sz w:val="20"/>
                <w:szCs w:val="20"/>
                <w:color w:val="auto"/>
              </w:rPr>
            </w:pPr>
            <w:r>
              <w:rPr>
                <w:rFonts w:ascii="Times New Roman" w:cs="Times New Roman" w:eastAsia="Times New Roman" w:hAnsi="Times New Roman"/>
                <w:sz w:val="16"/>
                <w:szCs w:val="16"/>
                <w:b w:val="1"/>
                <w:bCs w:val="1"/>
                <w:color w:val="auto"/>
              </w:rPr>
              <w:t>Moon Township, PA</w:t>
            </w: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gridSpan w:val="2"/>
          </w:tcPr>
          <w:p>
            <w:pPr>
              <w:jc w:val="right"/>
              <w:ind w:right="2166"/>
              <w:spacing w:after="0"/>
              <w:rPr>
                <w:sz w:val="20"/>
                <w:szCs w:val="20"/>
                <w:color w:val="auto"/>
              </w:rPr>
            </w:pPr>
            <w:r>
              <w:rPr>
                <w:rFonts w:ascii="Times New Roman" w:cs="Times New Roman" w:eastAsia="Times New Roman" w:hAnsi="Times New Roman"/>
                <w:sz w:val="16"/>
                <w:szCs w:val="16"/>
                <w:b w:val="1"/>
                <w:bCs w:val="1"/>
                <w:color w:val="auto"/>
              </w:rPr>
              <w:t>15108</w:t>
            </w:r>
          </w:p>
        </w:tc>
        <w:tc>
          <w:tcPr>
            <w:tcW w:w="0" w:type="dxa"/>
            <w:vAlign w:val="bottom"/>
          </w:tcPr>
          <w:p>
            <w:pPr>
              <w:spacing w:after="0"/>
              <w:rPr>
                <w:sz w:val="1"/>
                <w:szCs w:val="1"/>
                <w:color w:val="auto"/>
              </w:rPr>
            </w:pPr>
          </w:p>
        </w:tc>
      </w:tr>
      <w:tr>
        <w:trPr>
          <w:trHeight w:val="190"/>
        </w:trPr>
        <w:tc>
          <w:tcPr>
            <w:tcW w:w="4380" w:type="dxa"/>
            <w:vAlign w:val="bottom"/>
            <w:gridSpan w:val="3"/>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Pr>
          <w:p>
            <w:pPr>
              <w:jc w:val="center"/>
              <w:ind w:right="192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3"/>
        </w:trPr>
        <w:tc>
          <w:tcPr>
            <w:tcW w:w="10460" w:type="dxa"/>
            <w:vAlign w:val="bottom"/>
            <w:gridSpan w:val="8"/>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(412) 787-2100</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2"/>
                <w:szCs w:val="22"/>
                <w:color w:val="auto"/>
              </w:rPr>
            </w:pPr>
          </w:p>
        </w:tc>
        <w:tc>
          <w:tcPr>
            <w:tcW w:w="4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6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23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7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365"/>
        </w:trPr>
        <w:tc>
          <w:tcPr>
            <w:tcW w:w="4380" w:type="dxa"/>
            <w:vAlign w:val="bottom"/>
            <w:gridSpan w:val="3"/>
          </w:tcPr>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30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9"/>
              </w:rPr>
              <w:t>MHH</w:t>
            </w:r>
          </w:p>
        </w:tc>
        <w:tc>
          <w:tcPr>
            <w:tcW w:w="16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NYSE American</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4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1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89535</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4"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81"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50"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1" w:lineRule="exact"/>
        <w:rPr>
          <w:sz w:val="24"/>
          <w:szCs w:val="24"/>
          <w:color w:val="auto"/>
        </w:rPr>
      </w:pPr>
    </w:p>
    <w:p>
      <w:pPr>
        <w:ind w:right="480" w:firstLine="509"/>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9"/>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ind w:right="40" w:firstLine="509"/>
        <w:spacing w:after="0" w:line="178"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80"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50" w:lineRule="exact"/>
        <w:rPr>
          <w:sz w:val="24"/>
          <w:szCs w:val="24"/>
          <w:color w:val="auto"/>
        </w:rPr>
      </w:pPr>
    </w:p>
    <w:p>
      <w:pPr>
        <w:ind w:right="200" w:firstLine="509"/>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2024 (based on the closing price on such stock as reported by NYSE American on such date) was $24,874,000.</w:t>
      </w:r>
    </w:p>
    <w:p>
      <w:pPr>
        <w:spacing w:after="0" w:line="1" w:lineRule="exact"/>
        <w:rPr>
          <w:sz w:val="24"/>
          <w:szCs w:val="24"/>
          <w:color w:val="auto"/>
        </w:rPr>
      </w:pPr>
    </w:p>
    <w:p>
      <w:pPr>
        <w:ind w:left="2820" w:right="2840" w:hanging="2301"/>
        <w:spacing w:after="0" w:line="281" w:lineRule="auto"/>
        <w:rPr>
          <w:sz w:val="20"/>
          <w:szCs w:val="20"/>
          <w:color w:val="auto"/>
        </w:rPr>
      </w:pPr>
      <w:r>
        <w:rPr>
          <w:rFonts w:ascii="Times New Roman" w:cs="Times New Roman" w:eastAsia="Times New Roman" w:hAnsi="Times New Roman"/>
          <w:sz w:val="14"/>
          <w:szCs w:val="14"/>
          <w:color w:val="auto"/>
        </w:rPr>
        <w:t>The number of shares of the registrant’s Common Stock, par value $.01 per share, outstanding as of March 1, 2026 was 11,858,401. Auditor Firm ID: 1195 Auditor Name: UHY LLP Auditor Location: Farmington Hills, Michigan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6" w:lineRule="exact"/>
        <w:rPr>
          <w:sz w:val="24"/>
          <w:szCs w:val="24"/>
          <w:color w:val="auto"/>
        </w:rPr>
      </w:pPr>
    </w:p>
    <w:p>
      <w:pPr>
        <w:ind w:right="56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prepared for the Annual Meeting of Shareholders scheduled for May 13, 2026 to be filed with the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40" w:type="dxa"/>
            <w:vAlign w:val="bottom"/>
            <w:gridSpan w:val="12"/>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4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2024 FORM 10-K</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4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11"/>
            <w:vMerge w:val="restart"/>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540" w:type="dxa"/>
            <w:vAlign w:val="bottom"/>
            <w:gridSpan w:val="11"/>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4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7"/>
              </w:rPr>
              <w:t>CYBERSECURITY</w:t>
            </w:r>
          </w:p>
        </w:tc>
        <w:tc>
          <w:tcPr>
            <w:tcW w:w="1360" w:type="dxa"/>
            <w:vAlign w:val="bottom"/>
            <w:tcBorders>
              <w:top w:val="single" w:sz="8" w:color="0000FF"/>
            </w:tcBorders>
            <w:gridSpan w:val="6"/>
          </w:tcPr>
          <w:p>
            <w:pPr>
              <w:spacing w:after="0"/>
              <w:rPr>
                <w:sz w:val="17"/>
                <w:szCs w:val="17"/>
                <w:color w:val="auto"/>
              </w:rPr>
            </w:pPr>
          </w:p>
        </w:tc>
        <w:tc>
          <w:tcPr>
            <w:tcW w:w="670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PROPERTIES</w:t>
            </w:r>
          </w:p>
        </w:tc>
        <w:tc>
          <w:tcPr>
            <w:tcW w:w="20" w:type="dxa"/>
            <w:vAlign w:val="bottom"/>
            <w:tcBorders>
              <w:bottom w:val="single" w:sz="8" w:color="0000EE"/>
            </w:tcBorders>
          </w:tcPr>
          <w:p>
            <w:pPr>
              <w:spacing w:after="0"/>
              <w:rPr>
                <w:sz w:val="17"/>
                <w:szCs w:val="17"/>
                <w:color w:val="auto"/>
              </w:rPr>
            </w:pPr>
          </w:p>
        </w:tc>
        <w:tc>
          <w:tcPr>
            <w:tcW w:w="8440" w:type="dxa"/>
            <w:vAlign w:val="bottom"/>
            <w:gridSpan w:val="2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40" w:type="dxa"/>
            <w:vAlign w:val="bottom"/>
            <w:tcBorders>
              <w:bottom w:val="single" w:sz="8" w:color="0000EE"/>
            </w:tcBorders>
          </w:tcPr>
          <w:p>
            <w:pPr>
              <w:spacing w:after="0"/>
              <w:rPr>
                <w:sz w:val="17"/>
                <w:szCs w:val="17"/>
                <w:color w:val="auto"/>
              </w:rPr>
            </w:pPr>
          </w:p>
        </w:tc>
        <w:tc>
          <w:tcPr>
            <w:tcW w:w="762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11"/>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40" w:type="dxa"/>
            <w:vAlign w:val="bottom"/>
            <w:tcBorders>
              <w:bottom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w:t>
            </w:r>
          </w:p>
        </w:tc>
        <w:tc>
          <w:tcPr>
            <w:tcW w:w="78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2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94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618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34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25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6500" w:type="dxa"/>
            <w:vAlign w:val="bottom"/>
            <w:tcBorders>
              <w:top w:val="single" w:sz="8" w:color="0000FF"/>
            </w:tcBorders>
            <w:gridSpan w:val="12"/>
          </w:tcPr>
          <w:p>
            <w:pPr>
              <w:spacing w:after="0"/>
              <w:rPr>
                <w:sz w:val="17"/>
                <w:szCs w:val="17"/>
                <w:color w:val="auto"/>
              </w:rPr>
            </w:pPr>
          </w:p>
        </w:tc>
        <w:tc>
          <w:tcPr>
            <w:tcW w:w="44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tcBorders>
              <w:right w:val="single" w:sz="8" w:color="0000EE"/>
            </w:tcBorders>
            <w:gridSpan w:val="5"/>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69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6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11"/>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FF"/>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720" w:type="dxa"/>
            <w:vAlign w:val="bottom"/>
            <w:gridSpan w:val="8"/>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22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MATTERS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7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78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540" w:type="dxa"/>
            <w:vAlign w:val="bottom"/>
            <w:gridSpan w:val="11"/>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5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4440" w:type="dxa"/>
            <w:vAlign w:val="bottom"/>
            <w:gridSpan w:val="16"/>
            <w:shd w:val="clear" w:color="auto" w:fill="0000FF"/>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Factors or events that could cause results or performance to differ materially from those expressed in our forward-looking statements include the following:</w:t>
      </w:r>
    </w:p>
    <w:p>
      <w:pPr>
        <w:spacing w:after="0" w:line="5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U.S. and global economic conditions and economic conditions in the industries in which we operate;</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and economic instability, unrest, significant changes, and other circumstances beyond our control, including circumstances related to changes in the U.S. political landscape;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clients and obtain new clients;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service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retention of skilled technical employees and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adopt and use artificial intelligence and machine learning technologies in our service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and interpretations;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terminability of many of our contracts without penalty to our clients;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patterns and other factors related to visa 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unanticipated developments resulting from litigations, regulatory investigations and similar matters;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currency exchange rate variations;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U.S. laws, rules and regulations, including the Internal Revenue Code;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India’s geopolitical environment, laws, rules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success of new acquisitions;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ability to identify and manage risks;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any highly infectious or contagious diseases or the occurrence of pandemics, health epidemics or other outbreaks that disrupt business and day-to-day activities;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our systems due to a cybersecurity attack;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weather conditions, climate change and severe weather;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other trade barriers;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escalation of conflicts in the Middle East and Ukraine and the occurrence or escalation of other global conflicts;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our finance and accounting functions from the U.S. to India.</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Mastech Digital, Inc. (referred to in this report as “Mastech Digital”, “Mastech”, the “Company”, “us”, “our” or “we”) is a provider of Digital Transformation IT Services. The Company offers data and analytics solutions; digital learning; and IT staffing services for both digital and mainstream technologies. Headquartered near Pittsburgh, Pennsylvania, we have approximately 1,500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 through our two reportable segments, Data and Analytics Services and IT Staffing Services.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6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Additionally, we provide offshore staffing services to our U.S.-based clients and local offshore clients, and recently added engineering staffing services to our portfolio of service offerings.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of our services are handled by separate and distinct sales organizations within each of our two business segments. Our data and analytics services are marketed through 1) client partners who largely focus on new business development; and 2) technical relationship managers (principals) who focus on growing strong relationships within existing clients. Both account executives and technical relationship managers reside in the U.S., Canada, India and the U.K.</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IT staffing and Digital Transformation services are marketed through account executives across the U.S. who deploy a telesales model, supplemented with client visits. This cost-effective model is aimed at System Integrators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recruit for both segments through global recruitment centers largely located in India that deliver a full range of recruiting and sourcing services. Our centers employ approximately 89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Mastech Digital, Inc. (formerly Mastech Holdings, Inc.) was incorporated in Pennsylvania on June 6, 2008 as a wholly-owned subsidiary of iGATE Corporation (“iGATE”) in anticipation of a spin-off of iGATE’s professional services business. On September 30, 2008, the Company was separated from iGATE and began operating as an independent public company. Through its operating subsidiaries, the Company has over 37 years of experience providing IT staffing services.</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Founded in 1986, the Company initially focused on recruiting global IT talent to support client demand in the United States and subsequently transitioned to a domestic recruiting model supported by an offshore recruitment center established in 2003.</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June 15, 2015, the Company acquired Hudson Global Resources Management, Inc.’s U.S. IT staffing business (“Hudson IT”), which expanded the Company's domestic IT staffing operations and added a digital learning services practice.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2016, the Company changed its name to Mastech Digital, Inc. as part of a broader rebranding initiative.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2017, the Company expanded into data management and analytics consulting through the acquisition of the services division of InfoTrellis,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(“InfoTrellis”). The Company further expanded these capabilities in 2018 and 2019.</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2020, the Company launched its MAS-REMOTE service offering within the IT Staffing Services segment and acquired AmberLeaf Partners, Inc. (“AmberLeaf”), enhancing the Company's customer experience consulting and managed services capabilities within the Data and Analytics Services segment.</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2021, the Company expanded its cloud service capabilities and broadened its remote staffing offerings to include offshore staffing services. In 2022, the Company established a subsidiary in Noida, India to support these operations.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2024, the Company launched a ServiceNow practice and increased its focus on artificial intelligence-related technologies and applications across its businesses.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was established through the July 2017 acquisition of the services business of InfoTrellis, Inc. and expanded through the October 2020 acquisition of AmberLeaf Partners, Inc. This segment provides consulting and managed services focused on data management, analytics, customer experience, and related digital technology initiatives.</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segment’s service offerings include data modernization, master data management, data governance, data integration, analytics, and customer experience solutions. These services support clients’ efforts to migrate from legacy data platforms to cloud-based and enterprise data architectures and to improve the use of data in business decision-making.</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maintain delivery capabilities in both North America and India, including an offshore delivery center in Chennai, India, which supports project delivery and managed services engagements.</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partner with selected technology providers to implement and support enterprise data and analytics platforms. Our clients range from mid-sized businesses to large enterprises across multiple industries.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at our Data and Analytics Services segment is a single, integrated function spanning across four groups in multiple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Inside Sales, Principals, and Client Partners.</w:t>
      </w:r>
    </w:p>
    <w:p>
      <w:pPr>
        <w:spacing w:after="0" w:line="99" w:lineRule="exact"/>
        <w:rPr>
          <w:sz w:val="20"/>
          <w:szCs w:val="20"/>
          <w:color w:val="auto"/>
        </w:rPr>
      </w:pPr>
    </w:p>
    <w:p>
      <w:pPr>
        <w:ind w:left="900" w:right="1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team is responsible for designing inbound and outbound campaigns around data and business value, for dissemination through our omni channels and industry publications. Our Marketing team also works with our experts and thought leaders to create and disseminate data management, data engineering and data science thought leadership articles and white papers.</w:t>
      </w:r>
    </w:p>
    <w:p>
      <w:pPr>
        <w:spacing w:after="0" w:line="67"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 Sales team is responsible for operating integrated email and voice-based outbound marketing campaigns targeted at specific industries and functional populations, on an ongoing basis.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onshore team of Principals and Client Partners is responsible for building buyer relationships with prospects and leads, and for converting those conversations into value-positive revenue generating engagements, as well as expanding existing client relationships.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typical credit terms require our invoices to be paid within 45 to 60-days of receipt by the client.</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above, our Partner / Alliance Relationships (such as those we have with IBM, Informatica and Oracle, among others) also provide us with a significant pipeline of opportunities and new business opportunities. Furthermore, prospective clients reach us through referrals from our existing client base, our reputation in the data &amp; analytics domain, and through our industry partners.</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Once engaged with a prospect, our approach to value-delivery starts with the definition of a discrete business problem. We then master and manage our clients’ data and develop data products and deploy purpose-built advanced analytics, machine learning, and artificial intelligence, to deliver greater business velocity, significant cost reduction, and greater corporate resilience.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Practices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Mastech InfoTrellis builds a strong data foundation that delivers significant business value. Our expertise and technology practice stretches across four key domain areas.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Data-in-Motion: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create connected and modern data systems with seamless data flow through:</w:t>
      </w:r>
    </w:p>
    <w:p>
      <w:pPr>
        <w:spacing w:after="0" w:line="117"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engineering: delivering efficient and scalable code through agile development practices;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data: ensuring data integrity through robust quality assurance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integration: enabling seamless data integration with a composable architecture and automation;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visibility: providing comprehensive data observability for monitoring and validating data ecosystems.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Data-as-an-Asset:</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bridge data acquisition and activation with better data management through MDM, Data Governance, Data Privacy, and Data Warehousing solutions.</w:t>
      </w:r>
    </w:p>
    <w:p>
      <w:pPr>
        <w:spacing w:after="0" w:line="5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focuses on understanding business use cases and designing technology solutions that directly address the end objectives.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industry-leading data-focused technology providers, offering tailored solutions for unique business and technical needs.</w:t>
      </w:r>
    </w:p>
    <w:p>
      <w:pPr>
        <w:spacing w:after="0" w:line="117" w:lineRule="exact"/>
        <w:rPr>
          <w:rFonts w:ascii="Times New Roman" w:cs="Times New Roman" w:eastAsia="Times New Roman" w:hAnsi="Times New Roman"/>
          <w:sz w:val="18"/>
          <w:szCs w:val="18"/>
          <w:color w:val="auto"/>
        </w:rPr>
      </w:pPr>
    </w:p>
    <w:p>
      <w:pPr>
        <w:ind w:left="900" w:right="10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vast experience in developing MDM platforms and our partnerships with data-focused software firms provide us with a deep understanding of the technology landscape.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Activation: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unlock insights for better business decision-making through:</w:t>
      </w:r>
    </w:p>
    <w:p>
      <w:pPr>
        <w:spacing w:after="0" w:line="117" w:lineRule="exact"/>
        <w:rPr>
          <w:sz w:val="20"/>
          <w:szCs w:val="20"/>
          <w:color w:val="auto"/>
        </w:rPr>
      </w:pPr>
    </w:p>
    <w:p>
      <w:pPr>
        <w:ind w:left="900" w:right="4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Gap-to-goal roadmaps: We help address the gaps that hinder business goals, with technology-agnostic roadmaps and guide clients toward desired outcomes.</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technology solutions: With experience in over two thousand implementations, we customize solutions that blend out-of-the-box functionalities with custom features.</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integrations: Our experts excel at integrating sales, service, marketing, and BI platforms, for seamless data flow and efficient operations.</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expertise: Post implementation, we equip clients with skills to maintain and leverage tools, manage administration, streamline business processes.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Analytics, AI, and Data Sciences: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drive informed decision-making with modern statistical techniques and analytics with a strong focus on:</w:t>
      </w:r>
    </w:p>
    <w:p>
      <w:pPr>
        <w:spacing w:after="0" w:line="117" w:lineRule="exact"/>
        <w:rPr>
          <w:sz w:val="20"/>
          <w:szCs w:val="20"/>
          <w:color w:val="auto"/>
        </w:rPr>
      </w:pPr>
    </w:p>
    <w:p>
      <w:pPr>
        <w:ind w:left="900" w:right="24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With cutting-edge techniques and industry knowledge, we derive valuable insights, predictions, and actionable strategies from client data.</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Holistic data strategy: We develop data strategies that encompass governance, acquisition, quality, and integration, laying a foundation for effective data-driven decision-making.</w:t>
      </w:r>
    </w:p>
    <w:p>
      <w:pPr>
        <w:spacing w:after="0" w:line="5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and efficient: Leveraging scalable technologies and architectures, we handle increasing data volumes and evolving needs while providing high-performance and timely insights.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 and business impact: Our data-driven strategies align with client key performance indicators and help unlock cost savings, impact revenue growth, and increase process efficiencies.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and Vertical Focus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Data and Analytics Services segment primarily serves customers located in North America, with additional customers in Europe and the Asia-Pacific region. The segment’s client base consists largely of large enterprises, including Fortune 500 organizations. Typical engagements range from approximately $0.3 million to $2.5 million, depending on scope and duration. Customers operate across multiple industry verticals, with financial services, retail, healthcare, manufacturing and government representing significant industries served. The table below presents customer revenue percentages by industry vertical for 2025:</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3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Retail</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3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8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IT Staffing Services segment provides contract-based technology professionals to clients to support project initiatives and ongoing operational needs. Services are typically delivered under master service agreements, statements of work, or standard service agreements, with pricing generally based on hourly bill rates.</w:t>
      </w:r>
    </w:p>
    <w:p>
      <w:pPr>
        <w:spacing w:after="0" w:line="68" w:lineRule="exact"/>
        <w:rPr>
          <w:sz w:val="20"/>
          <w:szCs w:val="20"/>
          <w:color w:val="auto"/>
        </w:rPr>
      </w:pPr>
    </w:p>
    <w:p>
      <w:pPr>
        <w:jc w:val="both"/>
        <w:ind w:right="140" w:firstLine="509"/>
        <w:spacing w:after="0" w:line="312" w:lineRule="auto"/>
        <w:rPr>
          <w:sz w:val="20"/>
          <w:szCs w:val="20"/>
          <w:color w:val="auto"/>
        </w:rPr>
      </w:pPr>
      <w:r>
        <w:rPr>
          <w:rFonts w:ascii="Times New Roman" w:cs="Times New Roman" w:eastAsia="Times New Roman" w:hAnsi="Times New Roman"/>
          <w:sz w:val="17"/>
          <w:szCs w:val="17"/>
          <w:color w:val="auto"/>
        </w:rPr>
        <w:t>Clients typically engage multiple staffing providers, and assignments are awarded based on qualifications, availability, and pricing. The Company invoices clients on a weekly, bi-weekly, or monthly basis in accordance with contractual terms, with payment terms generally ranging from 30 to 45 days.</w:t>
      </w:r>
    </w:p>
    <w:p>
      <w:pPr>
        <w:spacing w:after="0" w:line="3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contract staffing, the Company provides permanent placement services on an opportunistic basis. Permanent placement revenues have historically represented approximately 1% of total revenues.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target much of our marketing efforts toward businesses and institutions with significant budgets, recurring IT staffing and Digital Transformation needs, or new transformation efforts. We work to increase our engagements with our existing client relationships as well as continually developing new clients. Most of our strategic relationships are established at the vice president / sales director level.</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Selling is conducted through account executives utilizing a sales model which is desirable to our clients’ needs. For clients with a need to supplement their own abilities to attract highly qualified temporary IT personnel and prefer a low-touch sales model, such as Systems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generally paired with recruiters and both receive incentive compensation based on revenue generation activities using a localized sales and recruitment model.</w:t>
      </w:r>
    </w:p>
    <w:p>
      <w:pPr>
        <w:spacing w:after="0" w:line="188"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Recruiting</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operate several small recruiting centers located in the U.S. and one significantly larger facility in NOIDA, India, that deliver a full range of recruiting and sourcing services. Our centers employ approximately 89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websites and other recruitment tools. The combination of our offshore recruiting capabilities, investment in sourcing and recruiting processes, expanded search coverage, around-the-clock sourcing, and extensive candidate pools, gives us the ability to deliver high-quality candidates to our clients in a timely fashion.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late 2018, we significantly expanded our offshore recruitment offices in NOIDA which gave us the ability to nearly double our recruiter seats.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 provides our offshore organization with state-of-the-art infrastructure and workforce amenities to attract top-quality recruiters and sourcers.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centralized offshore facility also affords us the ability to improve operational efficiencies compared to operating two offshore facilities.</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access to large and differentiated recruiting pools due to our brand recognition with both U.S. citizens and H1-B visa holders in the U.S. Unlike most staffing firms that have a high concentration of either H1-B workers or W-2 hourly U.S. citizens, we have historically maintained a balance of H1-B and W-2 hourly employees. We believe that this balanced mix allows us to access a broader candidate pool than our primary competition.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Client Focus of our IT Staffing and Digital Transformation Services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staffing delivery teams, spread across the U.S. and India, are segmented by 1) technologies, allowing us to reach deep and wide in our understanding of technology domains; and 2) client relationships which gives us a keen understanding of our clients’ needs and preferences. The delivery teams work in an integrated manner to provide quality IT talent with a faster turnaround time than many of our competitors. We have long-standing engagements with marquee brands and other premier global enterprises across various industries.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 Staffing — Digital Technologies</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Recognizing that a new breed of IT professionals adept in digital technologies is in high demand, we enhanced our recruitment capabilities to focus on digital technology skill sets. Today, Mastech Digital provides its clients with the ability to secure skill sets that encompass social, mobile, data, analytics, cloud-based technologies and automation. IT staffing for digital technologies is growing much faster than mainstream technologies, a trend that is expected to continue into the future. Digital technologies include the following areas: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Social Analytics</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Engineering</w:t>
            </w: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Social Blogging</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Analytics</w:t>
            </w: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Social Campaign Management</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Science</w:t>
            </w: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Enterprise Mobility Strategy</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Cloud Strategy</w:t>
            </w: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Mobile Application Development</w:t>
            </w:r>
          </w:p>
        </w:tc>
        <w:tc>
          <w:tcPr>
            <w:tcW w:w="42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Cloud Implementation and Support</w:t>
            </w: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Artificial Intelligence</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Machine Learning</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 Staffing — Mainstream Technologies</w:t>
      </w:r>
    </w:p>
    <w:p>
      <w:pPr>
        <w:spacing w:after="0" w:line="11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Mainframes</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Project Management</w:t>
            </w:r>
          </w:p>
        </w:tc>
      </w:tr>
      <w:tr>
        <w:trPr>
          <w:trHeight w:val="324"/>
        </w:trPr>
        <w:tc>
          <w:tcPr>
            <w:tcW w:w="4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Databases</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Open Source (JAVA)</w:t>
            </w:r>
          </w:p>
        </w:tc>
      </w:tr>
      <w:tr>
        <w:trPr>
          <w:trHeight w:val="324"/>
        </w:trPr>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Middleware</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Warehousing</w:t>
            </w:r>
          </w:p>
        </w:tc>
      </w:tr>
      <w:tr>
        <w:trPr>
          <w:trHeight w:val="324"/>
        </w:trPr>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Enterprise Systems</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Microsoft (C, .NET, SQL)</w:t>
            </w:r>
          </w:p>
        </w:tc>
      </w:tr>
      <w:tr>
        <w:trPr>
          <w:trHeight w:val="324"/>
        </w:trPr>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SoA and Web Services</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 Administration</w:t>
            </w:r>
          </w:p>
        </w:tc>
      </w:tr>
      <w:tr>
        <w:trPr>
          <w:trHeight w:val="324"/>
        </w:trPr>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Verification and Validation</w:t>
            </w: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 Helpdesk and Support</w:t>
            </w:r>
          </w:p>
        </w:tc>
      </w:tr>
      <w:tr>
        <w:trPr>
          <w:trHeight w:val="324"/>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Analysis</w:t>
            </w:r>
          </w:p>
        </w:tc>
      </w:tr>
      <w:tr>
        <w:trPr>
          <w:trHeight w:val="675"/>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6</w:t>
            </w:r>
          </w:p>
        </w:tc>
        <w:tc>
          <w:tcPr>
            <w:tcW w:w="504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Digital Learning Services</w:t>
      </w:r>
    </w:p>
    <w:p>
      <w:pPr>
        <w:spacing w:after="0" w:line="11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digital learning practice provides custom training programs for different organizational needs. With rich experience and proven success in handling several learning and performance engagements across industries, Mastech Digital’s team combines digital and physical learning modalities to ensure unified organizational behavior and augmented performance across teams. Mastech Digital’s learning paradigm consists of web-based learning, mobile learning, social learning, hybrid learning and virtual learning.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Presence &amp; Industry Verticals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All of our IT staffing services revenues is generated from services provided in the U.S. We market our services on a national basis and have the ability to provide services in all 50 U.S. States. Our geographical concentration tends to track major client locations, such as California, Texas, Pennsylvania and Virginia, and in large metropolitan areas such as Chicago and New York City.</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provide these services across a broad spectrum of industry verticals, including: financial services, government, healthcare, retail, technology and telecommunications. Below is a breakdown of our IT Staffing Services revenues for the year ended December 31, 2025:</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3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Telecom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w:t>
            </w:r>
          </w:p>
        </w:tc>
        <w:tc>
          <w:tcPr>
            <w:tcW w:w="13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2025, we had 752 North American employees and 536 employees offshore, in addition to 200 subcontracted professionals. None of our employees are subject to collective bargaining agreements governing their employment with our Company. We employ our consultants on both an hourly and salary basis. A large portion of our salaried employees are H1-B visa holders. We believe that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Rights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intellectual property consists primarily of proprietary processes; client, employee and candidate information; and proprietary rights of third parties from whom we license intellectual property. We also own the intellectual property and possess deep proprietary knowledge of the frameworks and products that we have built in our Mastech InfoTrellis business. We rely upon a combination of nondisclosure and other arrangements to protect our intellectual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Competitive Position</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and fragmented industries, with largely low barriers to entry in our IT Staffing Services segment. In our Data and Analytics Services segment, we primarily compete with Cognizant, Tata Consultancy Services, Capgemini,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83"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for securing and building client relationships are driven by the ability to precisely comprehend client requirements and by providing highly qualified personnel who are motivated to meet or exceed a client’s expectations. We must be able to do this efficiently to provide speed to market with pricing that is competitive and represents value to</w:t>
      </w:r>
    </w:p>
    <w:p>
      <w:pPr>
        <w:sectPr>
          <w:pgSz w:w="11900" w:h="16838" w:orient="portrait"/>
          <w:cols w:equalWidth="0" w:num="1">
            <w:col w:w="11220"/>
          </w:cols>
          <w:pgMar w:left="320" w:top="117" w:right="3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clients. The principal competitive factors in attracting qualified personnel are compensation, availability, location,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strengths compared to industry peers include: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Established client-base</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client base consists of large, medium-sized and small companies that span across multiple industry verticals. Long-standing relationships with corporate clients, blue-chip IT System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business, our global delivery model is designed to ensure operational excellence by delivering higher value to our customers on project-based Mastech InfoTrellis engagements. Projects are delivered using our proprietary SMART Implementation Methodology — a multi-phased approach based on parts of the Rational Unified Process (RUP) and Agile development methodologies.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Minority-owned status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Attractive financial model</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Expertise in high-demand Digital Transformation IT skills</w:t>
      </w:r>
    </w:p>
    <w:p>
      <w:pPr>
        <w:spacing w:after="0" w:line="11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76"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Financial Segments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Codification (“ASC”) Topic 280 “Disclosures about Segments of an Enterprise and Related Information”. Refer to Note 16 “Business Segments and Geographic Information” to our Consolidated Financial Statements included in Item 8 herein for information about our two reportable segments.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We recruit IT professionals on a global basis from time to time and, therefore, must comply with the immigration laws in the countries in which we operate. As of December 31, 2025, approximately 49% of our employee workforce was working under Mastech Digital sponsored H1-B temporary work visa. Statutory law limits the number of new H1-B petitions that may be approved in a fiscal year to enter the U.S. Legislation could be enacted limiting</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H1-B visa holders’ employment with staffing companies. In recent years, the vast majority of our H1-B hires were not subject to the annual quota limiting H1-B visas because they were already in the U.S. under H1-B visa status with other employers. Additionally, the U.S. Congress has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visas that could be granted, the number of available H1-B temporary work permits, or the required prevailing wage that we are required to pay our H1-B employees, which in turn may have a negative impact on our revenues and profits.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headquarters are located at 1305 Cherrington Parkway, Building 210, Suite 400, Moon Township, Pennsylvania 15108, and our telephone number is (412) 787-2100. The Company’s website is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Our annual reports on Form 10-K, quarterly reports on Form 10-Q, current reports on Form 8-K, and other Securities and 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180"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and uncertainties develop into actual events, these events could have a material adverse effect on our business, financial condition or results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success in recruitment and retention of IT and data and analytics professionals may decrease our revenues, impair our ability to service clients and pursue opportunities in the market and increase the costs needed to maintain our workforce.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and could also result in us being unable to meet the demand for our services and materialize opportunities in the market. Historically, we have done much of our recruiting from outside of the country where the client work is performed. Accordingly, any perception among our IT professionals, whether or not well founded, that our ability to assist them in obtaining temporary work visa and permanent residency status has been diminished, could lead to significant 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29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maintaining client relationships if the trend towards utilizing Managed Service Providers (“MSPs”) or setting up Global Capability Centers (GCC's) continues.</w:t>
      </w:r>
    </w:p>
    <w:p>
      <w:pPr>
        <w:spacing w:after="0" w:line="5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Within our IT Staffing Services segment, many large users of staffing services are employing MSP’s or have started utilizing GCC's outside the United States, to manage their contractor expenses in an effort to drive down overall costs. MSP clients that have</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their own GCC's represented approximately 30% of our IT Staffing Services Segment’s 2025 revenues. The general impact of this shift towards the MSP and GCC model has been to lower our gross margins and create delivery inefficiencies. This shift has also affected our client satisfaction and retention, resulted in a loss of business opportunities and delayed our ramp-up of GCC operations.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Should this trend towards utilizing the MSP and GCC model continue, it is likely that our gross margins will be further pressured in the future. In addition, if large users of staffing services continue to employ MSPs or set up their own GCCs, the relationship between us and those large users may be primarily conducted through MSPs and/or GCC, in which case we may have difficulty maintaining those client relationships because the MSP and GCC model uses the MSP or GCC as an intermediary between the staffing service provider and the end-user, and reduces our direct contact with the end-user.</w:t>
      </w:r>
    </w:p>
    <w:p>
      <w:pPr>
        <w:spacing w:after="0" w:line="2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Indian operations and there can be no assurance that our Indian operations will support our growth strategy and historical cost structure.</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wide variety of foreign laws and regulations.</w:t>
      </w:r>
    </w:p>
    <w:p>
      <w:pPr>
        <w:spacing w:after="0" w:line="22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failure to manage growth or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be subject to significant variations.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revenues and operating results have historically been subject to significant variations from quarter to quarter depending on a number of factors, including the timing and number of client projects commenced and completed during the quarter, our client's evaluation of our work progress, the availability and / rescheduling of our client's allocation budgets, the number of working days in a quarter, employee hiring and attrition, and utilization rates during the quarter.</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multi-year Center of Excellence service offering may be early terminated on short notice from the client, which could materially and adversely affect our business, backlog and future revenues.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Data and Analytics Services segment markets a multi-year service offering known as a Center of Excellence. This service provides our clients with a virtual extension of their internal team to assist with their 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of expansion through the acquisition of additional companies may not be successful and may result in slower growth of our business and reduced operating margins.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68"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agree on the terms of the acquisition or investment;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between us and the management of the company that we wish to acquire or invest;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potential acquirers;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capital to make the acquisition or investment;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the company to partner with us.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complete, acquisitions that could require significant management attention, disrupt our existing business, result in dilution to our shareholders, deplete our cash reserves, increase our debt levels and adversely affect our financial results.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Acquisitions involve numerous risks, including the possibility that:</w:t>
      </w:r>
    </w:p>
    <w:p>
      <w:pPr>
        <w:spacing w:after="0" w:line="117" w:lineRule="exact"/>
        <w:rPr>
          <w:sz w:val="20"/>
          <w:szCs w:val="20"/>
          <w:color w:val="auto"/>
        </w:rPr>
      </w:pPr>
    </w:p>
    <w:p>
      <w:pPr>
        <w:ind w:left="900" w:right="7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successfully integrate the operations, systems, technologies, products, offerings and personnel of the acquired company or companies;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generate sufficient revenues to offset increased expenses associated with our acquisitions;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attention is diverted from normal daily operations of our business and the challenges with managing larger and more widespread operations resulting from our acquisitions;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difficulties entering markets in which we have no or limited direct prior experience and where competitors in such markets have stronger market positions; and</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key employees, customers, distributors, vendors and other business partners of the companies we acquire following and continuing after announcement of acquisition plans.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foregoing, acquisitions may also cause us to:</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reserves or incur debt;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or grant equity incentives that dilute our current shareholders’ percentage ownership;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liabilities, including potentially unknown liabilities;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amortizable intangible assets that are subject to impairment testing on a regular basis and potential periodic impairment charges could occur;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litigation or other litigation.</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Acquisitions of technology companies and assets are inherently risky and subject to many factors outside of our control, and no assurance can be given that our prior or future acquisitions will be successful and will not materially adversely affect our business, operating results, or financial condition. Failure to manage and successfully integrate acquisitions could materially harm our business and operating results.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highly concentrated, and the loss of a significant client would adversely affect our business and revenues.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2025, approximately 58% of our revenues were derived from our top ten clients and approximately 54% of revenues came from financial services clients. Consequently, if our clients reduce or postpone their spending significantly, this may lower the demand for our services, cause operational disruptions and workforce underutilization, impact delivery efficiency, reduce our pricing leverage and bargaining power in future engagements and create negative investor perception. A reduction or postponement in spending by our clients may also reduce our ability to invest in growth and innovation, impact our long-term market relevance and negatively affect our revenues and profitability. Further, any significant decrease in the rate of economic growth may reduce the demand for our services and negatively affect our revenues and profitability.</w:t>
      </w:r>
    </w:p>
    <w:p>
      <w:pPr>
        <w:spacing w:after="0" w:line="19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materially and adversely affect our financial condition or operating flexibility and prevent us from fulfilling our obligations under our Credit Agreement.</w:t>
      </w:r>
    </w:p>
    <w:p>
      <w:pPr>
        <w:spacing w:after="0" w:line="5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we had no outstanding borrowings under our Credit Agreement with PNC Bank and certain other lenders (the “Credit Agreement”) and unused borrowing capacity of $19.9 million under the revolving credit facility established by the Credit Agreement. Our level of indebtedness (which may increase) could have important consequences on our future operations, including the following:</w:t>
      </w:r>
    </w:p>
    <w:p>
      <w:pPr>
        <w:spacing w:after="0" w:line="68"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we cannot satisfy our payment or other obligations under our outstanding debt, which may result in defaults;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increased sensitivity to interest rate increases on our outstanding indebtedness, which could cause our debt service obligations to increase significantly;</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general economic conditions;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our competitors that have less debt or are less leveraged;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the impact of adverse economic and industry conditions;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execute on our existing share repurchase program.</w:t>
      </w:r>
    </w:p>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and, if we incur new debt or other liabilities, the related risks that we face could intensify.</w:t>
      </w:r>
    </w:p>
    <w:p>
      <w:pPr>
        <w:spacing w:after="0" w:line="16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183"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If we are in default under the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Credit Agreement impose restrictions that may limit our operating and financial flexibility.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72"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liens;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loans;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additional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consolidations, sale-leasebacks and other similar transactions;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our capital stock;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officers, directors and affiliates;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purchase other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agreements;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to accounting and reporting practices.</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keep pace with the rapid technological changes that characterize the IT and data and analytics industries and our failure to do so could result in lower demand for services.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 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significant number of organizations are choosing to migrate their IT business applications to advanced technologies, such as artificial intelligence, cloud services, data science-based solution,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284"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Client’s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2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w:t>
      </w:r>
    </w:p>
    <w:p>
      <w:pPr>
        <w:sectPr>
          <w:pgSz w:w="11900" w:h="16838" w:orient="portrait"/>
          <w:cols w:equalWidth="0" w:num="1">
            <w:col w:w="11220"/>
          </w:cols>
          <w:pgMar w:left="320" w:top="117" w:right="359" w:bottom="1440" w:gutter="0" w:footer="0" w:header="0"/>
        </w:sect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the maintenance and protection of our intellectual property rights and processes, and any substantial costs incurred protecting such rights and processes may decrease our operating margins.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2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potential customers may consider outsourcing their IT requirements to foreign countries, which could have an adverse effect on our ability to obtain new customers or retain existing customers.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Certain of our existing and potential customers have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to clients arising from our engagements.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data protection, data security, and privacy risks in connection with privacy regulation.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Strict data privacy laws regulating the collection, transmission, storage and use of employee data and consumers’ personally identifying information are evolving in the U.S, India and other jurisdictions in which we operate. These laws impose compliance obligations for the collection, use, retention, security, processing, transfer and deletion of personally identifiable information of individuals and creates enhanced rights for individuals. These changes in the legal and regulatory environments in the areas of customer and employee privacy, data security, and cross-border data flows could have a material adverse effect on our business, primarily through the impairment of our marketing and transaction processing activities, the limitation on the types of information that we may collect, process and retain, the resulting costs of complying with such legal and regulatory requirements and potential monetary forfeitures and penalties for noncompliance.</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 Our hybrid work-from-home business model may heighten risks of security breaches. While we have implemented security measures to address risks of security breaches and adopted certain network strengthening measures, our information technology and infrastructure may still be vulnerable to security breaches and other disruptions, including attacks by hackers, or breaches due to employee error, malfeasance or other disruptions. Any such breach or disruption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damage our reputation, and cause a loss of confidence in our services, which could adversely affect our operating results and competitive position.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cyber risk insurance, but this insurance may not be sufficient to cover all of our losses from any breaches of our networks.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proper functioning of our information systems.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clients are subjected to cyber-attacks or data security breaches, it may result in damage to our business and the disclosure of our confidential information.</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insurance costs increase significantly, these incremental costs could negatively affect our financial results.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adequate insurance for potential liabilities, including liabilities arising from litigation.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exposed to various possible claims relating to our business. In the ordinary course of business, we have, and in the future, may become the subject of various claims, lawsuits, and administrative proceedings seeking damages or other remedies concerning our operations, products, services, employees and other matters. Some of these claims may relate to the activities of businesses that we have acquired, even though these activities may have occurred prior to our acquisition of such businesses. While we maintain insurance to cover certain of our potential losses, we cannot ensure that our insurance will cover all claims or that insurance coverage will be available at economically acceptable rates. Our ability to obtain insurance, and the coverage levels, deductibles and premiums of our insurance, are all dependent on market factors, our loss history and our insurers’ perception of our overall risk profile. Our insurance may also require us to meet a deductible. Significant uninsured liabilities could have a material adverse effect on our business, financial condition and results of operations.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 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financial loss, loss of human capital, regulatory actions, reputational harm, damaged client relationships or legal liability. For example, the COVID-19 pandemic and governmental actions taken to curtail the spread of the virus had an impact on our employees, customers and third-party providers and impacted the level of economic activity. Any such disaster or other business continuity problem could have a material adverse impact on our revenues and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posed by climate change may materially increase our compliance costs and adversely impact our profitability.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Climate change vulnerability is posing new threats and opportunities in the global economy. Climate change and measures adopted to address it can affect us, our clients and suppliers in myriad ways, depending on the nature and location of the businesses, the near-term capital expenditure needs, the regulatory environments where they operate and their strategic plans. Generally, climate risks and opportunities for companies and their investors fall into four categories:</w:t>
      </w:r>
    </w:p>
    <w:p>
      <w:pPr>
        <w:spacing w:after="0" w:line="72"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 from climate change;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opportunities related to existing or proposed greenhouse gas (“GHG”) emissions limits;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regulatory risks and opportunities related to products or services from high emitting companies;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for emitters of greenhouse gases.</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retaining the services of our management team and key operating employees.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ability to attract and develop future leaders, and keep our senior leadership and key operating employees motivated and aligned with our strategic vision. We must also continue to maintain a senior leadership that, among other things, is effective in executing on our strategic goals and materializing opportunities to grow our service capabilities. The loss of senior executives, or the failure to attract, integrate and retain new senior executives to meet the needs of our business , could have a material adverse effect on our business and results of operations. To attract and retain executives and other key employees in a competitive marketplace, we must provide a competitive compensation package, including cash-based and equity-based compensation. The loss or any sustained attrition of our key operating employees, or the failure to effectively integrate new members of our management team or key operating employees, could have a material adverse effect on our business, including our ability to establish and maintain client, consultant and candidate, professional and technical relationships.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our use of artificial intelligence and machine learning technologies, combined with an uncertain legal and regulatory environment, could materially and adversely affect our business, financial condition and results of operations.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use artificial intelligence and machine learning technologies in our operations and services. These technologies are subject to evolving laws, regulations, guidance, and industry standards, which may expose us to legal liability or regulatory risk, including with respect to third-party intellectual property, privacy, publicity, contractual, or other rights. The use of artificial intelligence and machine learning technologies also presents emerging ethical and social issues and may draw public scrutiny or controversy, and may also create or assist in producing unexpected results, errors or inadequacies, any of which may not be easily detectable. Issues relating to our use of artificial intelligence and machine learning technologies and the evolving legal and regulatory landscape applicable to such technologies may adversely affect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Regulations, Laws and Taxation</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H1-B visas may materially affect our workforce and limit our supply of qualified IT professionals, or increase our cost of securing workers.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recruit IT professionals on a global basis and, therefore, must comply with the immigration laws in the countries in which we operate, particularly the U.S. As of December 31, 2025, approximately 48% of our employee workforce was working under Mastech Digital sponsored H1-B temporary work visas. Applicable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ectPr>
          <w:pgSz w:w="11900" w:h="16838" w:orient="portrait"/>
          <w:cols w:equalWidth="0" w:num="1">
            <w:col w:w="11200"/>
          </w:cols>
          <w:pgMar w:left="320" w:top="117" w:right="37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 vast majority of our H1-B hires were not subject to the annual quota limiting H1-B visas because they were already in the U.S. under H1-B visa status with other employers. As a result, the negative impact on recruiting due to the exhaustion of recent H1-B quotas was not substantial. However, the subject of H1-B visas has recently become a political discussion point and the entire H1-B visa program could be significantly overhauled. If a new or revised H1-B visa program is implemented, or there are changes to the rules regarding the existing H1-B visa program, there could be elements of the H1-B visa program that may not be advantageous to our business model and could adversely impact our business, operating results or financial condition.</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 of our independent contractors by tax or regulatory authorities could have a material adverse effect on our business model and/or could require us to pay significant retroactive wages, taxes and penalties.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utilize individuals to provide certain services in connection with our business as qualified third-party independent contractors rather than as direct employees. As of December 31, 2025, approximately 15% of our workforce were independent contractors.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immigration or unjustified or discriminatory enforcement of immigration laws could increase our cost of doing business, cause us to change the way we conduct our business or otherwise disrupt our operations.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Immigration change and the enforcement of immigration laws continue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current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policy changes may adversely affect our business.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Changes in U.S. federal fiscal, tax, trade, immigration, healthcare, and regulatory policies—whether resulting from legislative action, executive action, or administrative rulemaking—could affect the U.S. and global economy and create uncertainty for our customers and end markets. Such changes may influence corporate spending and hiring decisions, inflation and interest rates, international trade conditions, and regulatory compliance requirements, any of which could reduce demand for our services or increase our operating costs.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Federal policy priorities and implementation can change over time, and the timing and scope of future policy actions are difficult to predict. As a result, we may be required to adapt our business practices, incur additional compliance costs, or experience changes in client demand. We cannot predict the ultimate impact of future policy changes on our business or whether such changes will benefit or adversely affect our results of operations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tax audits or interpretations of tax laws could have an adverse impact on our business.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periodic federal, state and local tax audits for various tax years. We also need to comply with new, evolving or revised tax laws and regulations. The Tax Cuts and Jobs Act of 2017 continues to require interpretation, and the new administration could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5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provide healthcare coverage to our U.S.-based employees that are subject to the Affordable Care Act (“ACA”). Additional provisions of the ACA and the compliance of such may result in higher overall costs for the Company, which could have a negative impact on our operating results, cash flows and financial condition</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combined with an uncertain regulatory environment, may result in reputational harm, liability, or other adverse consequences to our business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use machine learning and AI technologies in our offerings and business and we are making investments in expanding our AI capabilities. AI technologies are complex and rapidly evolving, and we face significant competition from other companies as well as evolving legal and regulatory landscapes. Laws and regulations applicable to AI continue to develop and may be inconsistent from jurisdiction to jurisdiction. For example, some U.S. states have proposed, and in certain cases enacted, legislation addressing aspects of the use and deployment of AI. The use of AI technologies in new or existing products may result in new or enhanced governmental or regulatory scrutiny, new or modified laws or regulations, claims, demands, and litigation, confidentiality, privacy, data protection, or security risks, ethical concerns, or other complications that could adversely affect our business, financial condition, results of operations and prospects.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Uncertainty around new and emerging AI technologies may require additional investment in the obtaining, developing and maintaining of proprietary datasets and machine learning models, development of new approaches and processes to provide attribution or remuneration to creators of training data, and development of appropriate protections, safeguards, and policies for handling the processing of data with AI technologies, which may be costly and could impact our expenses. AI technologies also present emerging legal, ethical and social issues, including with respect to potential or actual bias reflected in, or flawed outputs of, models. AI technologies that we make use of may produce or create outputs that appear correct but are factually inaccurate or otherwise flawed, which may expose us to brand or reputational harm, competitive harm, regulatory scrutiny, and/or legal liability.</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diseases have had and may in the future have a material adverse impact upon our business, liquidity, results of operations and financial condition.</w:t>
      </w:r>
    </w:p>
    <w:p>
      <w:pPr>
        <w:spacing w:after="0" w:line="172" w:lineRule="exact"/>
        <w:rPr>
          <w:sz w:val="20"/>
          <w:szCs w:val="20"/>
          <w:color w:val="auto"/>
        </w:rPr>
      </w:pPr>
    </w:p>
    <w:p>
      <w:pPr>
        <w:ind w:right="260" w:firstLine="660"/>
        <w:spacing w:after="0" w:line="258" w:lineRule="auto"/>
        <w:rPr>
          <w:sz w:val="20"/>
          <w:szCs w:val="20"/>
          <w:color w:val="auto"/>
        </w:rPr>
      </w:pPr>
      <w:r>
        <w:rPr>
          <w:rFonts w:ascii="Times New Roman" w:cs="Times New Roman" w:eastAsia="Times New Roman" w:hAnsi="Times New Roman"/>
          <w:sz w:val="18"/>
          <w:szCs w:val="18"/>
          <w:color w:val="auto"/>
        </w:rPr>
        <w:t>Any pandemic, epidemic or other outbreak of disease may have widespread, rapidly evolving and unpredictable impacts on global society, economies, financial markets and business practices by, among other things, causing significant loss of life, curtailing congregation of people and disrupting communications and travel. Such events may have a material adverse impact upon, our business, liquidity, results of operations and financial condition, including as a result of reduced client demand for our services, closures of our clients' facilities that materially impair our ability to deliver services to our clients and satisfy contractually agreed upon service levels and increased strain on employees and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extreme weather and risks arising from the transition to a lower-carbon economy may impact our business.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are inherent climate and weather-related risks everywhere we conduct our business. Developments related to regulatory, social or market dynamics, stakeholder expectations, national and international climate change policies, the actual or perceived frequency or intensity of extreme weather events or the availability and functionality of critical infrastructure and resources, in addition to other factors resulting from such developments or that may not otherwise be known to or anticipated by us, could significantly disrupt our supply chain, our clients' operations and our ability to deliver services. Such events could significantly increase our costs and expenses and adversely affect our revenues, cash flows and financial performance. Further, natural disasters and adverse weather events, such as droughts, wildfires, storms, sea-level rise and flooding, occurring more frequently, with less predictability or with greater intensity, could cause community disruptions and impact our employees’ abilities to commute or to work from home safely and effectively. For example, we have substantial global delivery operations in Chennai, India, a city that has experienced severe rains and related flooding. Our exposure to these economic and other risks from climate change could be exacerbated if government or market action to address climate change and its effects is insufficient or unsuccessful.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and Financial Conditions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w:t>
      </w:r>
    </w:p>
    <w:p>
      <w:pPr>
        <w:sectPr>
          <w:pgSz w:w="11900" w:h="16838" w:orient="portrait"/>
          <w:cols w:equalWidth="0" w:num="1">
            <w:col w:w="11200"/>
          </w:cols>
          <w:pgMar w:left="320" w:top="117" w:right="379" w:bottom="1440" w:gutter="0" w:footer="0" w:header="0"/>
        </w:sect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fair value measurements, contingent consideration and taxation related items. We base our estimates on historical experience and on various other assumptions that we believe are reasonable at the time they are made. These estimates and assumptions involve the use of judgment and can be subject to uncertainties, some of which are beyond our control. If our estimates or the assumptions underlying such estimates are incorrect, actual results may differ materially from our estimates and we may need to, among other things, revise revenues or recognize additional charges that could adversely affect our results of operations and our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or uncertain economic conditions in North America or elsewhere may adversely affect demand for our services.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 Furthermore, economic uncertainty, including the concerns of our clients and other companies with respect to inflationary conditions in North America and elsewhere, has had and may continue to have an adverse impact on the demand for our services, which in turn could have a material adverse effect on our business, operating results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industries are highly competitive and fragmented, which may limit our ability to increase our prices for services.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conflicts in South Asia could adversely affect the Indian economy, disrupt our operations and cause our business to suffer.</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possible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Wage costs in India may increase, which may reduce our operating margins and reduce a competitive advantage of ours.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including those resulting from inflationary pressures and/or due to revised regulatory requirements may prevent us from sustaining this competitive advantage and may negatively affect our operating margins. We may need to increase the levels of our employee compensation more rapidly than in the past to retain talent. Unless we are able to continue to increase the efficiency and productivity of our employees, wage increases in the long term may reduce our overall margins.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("AI") technologies may not be successful and may present business, financial, legal and reputational risk.</w:t>
      </w:r>
    </w:p>
    <w:p>
      <w:pPr>
        <w:spacing w:after="0" w:line="229" w:lineRule="exact"/>
        <w:rPr>
          <w:sz w:val="20"/>
          <w:szCs w:val="20"/>
          <w:color w:val="auto"/>
        </w:rPr>
      </w:pPr>
    </w:p>
    <w:p>
      <w:pPr>
        <w:ind w:left="20" w:right="160" w:firstLine="810"/>
        <w:spacing w:after="0" w:line="255" w:lineRule="auto"/>
        <w:rPr>
          <w:sz w:val="20"/>
          <w:szCs w:val="20"/>
          <w:color w:val="auto"/>
        </w:rPr>
      </w:pPr>
      <w:r>
        <w:rPr>
          <w:rFonts w:ascii="Times New Roman" w:cs="Times New Roman" w:eastAsia="Times New Roman" w:hAnsi="Times New Roman"/>
          <w:sz w:val="18"/>
          <w:szCs w:val="18"/>
          <w:color w:val="auto"/>
        </w:rPr>
        <w:t>The proliferation of AI may have a significant impact on our industry and we believe our ability to compete in this space will be critical to our financial performance. We increasingly use AI-based technologies , including GenAI, in our client offerings and our own internal operations. We have incurred and plan to continue to incur significant development and operational costs to build and support our AI capabilities, including costs to ensure ongoing compliance with the complex and rapidly evolving legal landscape around AI and automation. If we fail to develop and implement AI solutions that meet our internal and client needs and comply with the evolving legal and regulatory requirements around AI and automation, or if we are unable to bring AI-enabled solutions to market as effectively or with the same speed as our competitors, we may fail to recoup our investments in AI and our financial performance, competitive position, business and reputation may be adversely impacted.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and your investment may decline in value.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substantially due to many factors, including:</w:t>
      </w:r>
    </w:p>
    <w:p>
      <w:pPr>
        <w:spacing w:after="0" w:line="117"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end markets we serve, and changes in the estimation of the size and growth rate of these markets;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historical financial results and changes in financial forecasts;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significant customers;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our common stock on multiple trading markets, which takes place in different currencies and at different times;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Investors, shareholders,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If we do not adapt to or comply with evolving investor or stakeholder expectations and standards, or are perceived to have not responded appropriately, we may suffer from reputational damage, which could in turn materially and adversely affect our business, financial condition, and/or stock price. Further, this increased focus on ESG and corporate social responsibility may result in new regulations and/or third party requirements that could adversely impact our business, or certain shareholders reducing or eliminating their holdings of our stock. Additionally, an allegation that we have not taken sufficient action in these areas could negatively harm our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is highly concentrated in two individuals and the interests of those individual shareholders may not coincide with yours.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Sunil Wadhwani and Ashok Trivedi, co-founders of the Company, beneficially own approximately 58% of Mastech Digital’s outstanding common stock as of December 31, 2025.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share price could be adversely affected if we are unable to maintain effective internal controls.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Internal controls related to the operation of our business are critical to our ability to provide accurate financial statements and an appropriate internal control environment. We are required to provide a report from management on our internal controls over financial reporting that includes an assessment of the effectiveness of these controls. Internal control over financial reporting has inherent limitations, including human error, the possibility that controls could be circumvented or become inadequate because of changing conditions. Because of these limitations, internal control over financial reporting might not prevent or detect all misstatements or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Mastech Digital, Inc. recognizes the critical importance of developing, implementing, and maintaining robust cybersecurity measures to safeguard our information systems and protect the confidentiality, integrity, and availability of our data.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strategically integrated cybersecurity risk management into its broader risk management framework to promote a company-wide culture of cybersecurity risk management. This integration ensures that cybersecurity considerations are an integral part of our decision-making processes at every level. In 2022, we improved this integration by hiring a senior executive to assume the responsibilities of both the Chief Information Officer (“CIO”) and Chief Information Security Officer (“CISO”) roles within our organization. Thus, our risk management team is 100% aligned to our IT department to continuously evaluate and address cybersecurity risks within the Company’s business objectives and operational needs.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Mastech Digital, Inc.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 parties includes regular audits, threat assessments, and consultation on security enhancements. We have recently partnered with a cybersecurity company that specializes in third party-vendor risk management.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Mastech Digital, Inc. implements stringent processes to oversee and manage these risks. We conduct thorough security assessments of all third-party providers before engagement and maintain ongoing monitoring to ensure compliance with our cybersecurity standards. The monitoring includes quarterly assessments by our CIO / CISO and on an ongoing basis by our security engineers. This approach is designed to mitigate risks related to data breaches or other security incidents originating from third-parties.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2025, we did not identify any cybersecurity threats that have materially affected, or are reasonably likely to materially affect the Company, including the Company's business strategy, results of operations, or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1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CIO / CISO and the Chief Executive Officer (“CEO”) play a pivotal role in informing the Audit Committee on cybersecurity risks. They provide comprehensive briefings to the Audit Committee on a regular basis, with a minimum frequency of twice per year. These briefings encompass a broad range of topics, including:</w:t>
      </w:r>
    </w:p>
    <w:p>
      <w:pPr>
        <w:spacing w:after="0" w:line="68"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2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scheduled meetings, the Audit Committee, CIO / CISO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Mastech Digital, Inc. The Board of Directors conducts an annual review of the company’s cybersecurity posture and the effectiveness of its risk management strategies. This review helps in identifying areas for improvement and ensuring the alignment of cybersecurity efforts with the overall risk management framework.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27" w:lineRule="exact"/>
        <w:rPr>
          <w:sz w:val="20"/>
          <w:szCs w:val="20"/>
          <w:color w:val="auto"/>
        </w:rPr>
      </w:pPr>
    </w:p>
    <w:p>
      <w:pPr>
        <w:ind w:left="20" w:right="240" w:firstLine="509"/>
        <w:spacing w:after="0" w:line="258"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our CIO / CISO, Mr. Siva Perubotla. With over 20 years of experience in the field of Cloud, Infrastructure &amp; Cybersecurity, Mr. Siva brings a wealth of expertise to his role as the Company's CIO / CISO. His background includes extensive experience as an enterprise CISO and is well-recognized within the industry. His in-depth knowledge and experience are instrumental in developing and executing our cybersecurity strategies. Our CIO / CISO oversees our governance programs, tests our compliance with standards, remediates known risks, and leads our employee training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CIO /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CIO / CISO implements and oversees processes for the regular monitoring of our information systems. This includes the deployment of advanced security measures and regular system audits to identify potential vulnerabilities. In the event of a cybersecurity incident, the CIO / CISO is equipped with a well-defined incident response plan. This plan includes immediate actions to mitigate the impact and long-term strategies for remediation and prevention of future incidents.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CIO / CISO, in his capacity, regularly informs the Chief Financial Officer (CFO); our General Counsel; as well as the Chief Executive Officer (CEO) of all aspects related to cybersecurity risks and incidents. This ensures that the highest levels of management are kept abreast of the cybersecurity posture and potential risks facing Mastech Digital, Inc. Furthermore, significant cybersecurity matters, and strategic risk management decisions are escalated to the Board of Directors, ensuring that they have comprehensive oversight and can provide guidance on critical cybersecurity issues.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Threats / Incidents Effect on the Company Business Strategy Results of Operations and Financial Position</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Cybersecurity is a business risk that the Company takes seriously. Over the last several years, we have improved our processes; upgraded cybersecurity leadership and supporting personnel; and have committed significant investment dollars to cybersecurity risk mitigation efforts. These investments have had an impact on our results of operations in 2024 and 2025, as disclosed further in the "Results of Operations" section of Item 7 of this Form 10-K. Despite our cybersecurity risk mitigation efforts, there can be no</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guarantee that we will not be the subject of future successful attacks, threats or incidents. Additional information on cybersecurity risks we face can be found in Item IA "Risk Factors" under the heading "Risks Related to the Company's Business and Operation," which should be read in conjunction with the foregoing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principal properties leased by us and our subsidiaries as of December 31, 2025 is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Occupying Business</w:t>
            </w:r>
          </w:p>
        </w:tc>
        <w:tc>
          <w:tcPr>
            <w:tcW w:w="120" w:type="dxa"/>
            <w:vAlign w:val="bottom"/>
          </w:tcPr>
          <w:p>
            <w:pPr>
              <w:spacing w:after="0"/>
              <w:rPr>
                <w:sz w:val="13"/>
                <w:szCs w:val="13"/>
                <w:color w:val="auto"/>
              </w:rPr>
            </w:pPr>
          </w:p>
        </w:tc>
        <w:tc>
          <w:tcPr>
            <w:tcW w:w="16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2"/>
                <w:szCs w:val="12"/>
                <w:color w:val="auto"/>
              </w:rPr>
            </w:pPr>
          </w:p>
        </w:tc>
        <w:tc>
          <w:tcPr>
            <w:tcW w:w="424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Principal Use</w:t>
            </w:r>
          </w:p>
        </w:tc>
        <w:tc>
          <w:tcPr>
            <w:tcW w:w="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191"/>
        </w:trPr>
        <w:tc>
          <w:tcPr>
            <w:tcW w:w="3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Moon Township, Pennsylvania</w:t>
            </w:r>
          </w:p>
        </w:tc>
        <w:tc>
          <w:tcPr>
            <w:tcW w:w="4440" w:type="dxa"/>
            <w:vAlign w:val="bottom"/>
            <w:gridSpan w:val="2"/>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Corporate headquarters, executive, human resources,</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FF0FC"/>
          </w:tcPr>
          <w:p>
            <w:pPr>
              <w:spacing w:after="0"/>
              <w:rPr>
                <w:sz w:val="20"/>
                <w:szCs w:val="20"/>
                <w:color w:val="auto"/>
              </w:rPr>
            </w:pPr>
          </w:p>
        </w:tc>
        <w:tc>
          <w:tcPr>
            <w:tcW w:w="4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recruiting, marketing and finance</w:t>
            </w: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IT Staffing</w:t>
            </w: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sales and recruiting</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 Staffing</w:t>
            </w: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4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Human resources, sales, marketing and delivery</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Data and Analytics</w:t>
            </w: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recruiting office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 Staffing</w:t>
            </w: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39,900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Chennai, India</w:t>
            </w:r>
          </w:p>
        </w:tc>
        <w:tc>
          <w:tcPr>
            <w:tcW w:w="4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delivery center</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Data and Analytics</w:t>
            </w: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18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5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“MHH”. We began trading “regular way” on the former American Stock Exchange (“AMEX”) on October 1, 2008.</w:t>
      </w:r>
    </w:p>
    <w:p>
      <w:pPr>
        <w:spacing w:after="0" w:line="162"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On March 1, 2026, we had 70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4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had authorized a share repurchase program of up to 500,000 shares of the Company’s common stock over a two-year period. Repurchases under the program could occur from time to time in the open market, through privately negotiated transactions, through block purchases or other purchase techniques, or by any combination of such methods. During the year ended December 31, 2025, the Company repurchased 299,523 shares of common stock at an average price of $7.49 per share under this program. On February 19, 2025, the Company announced that the Board of Directors had authorized an extension of its previously announced share repurchase program for an additional year through February 8, 2026. Common shares available for share repurchase under this program totaled 123,556 on December 31, 2025. On February 8, 2026, this share repurchase program expired by its terms.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we do, from time to time, purchase shares to enable employees to satisfy their tax obligations related to the vesting of restricted stock, in accordance with the provisions of the Company’s Stock Incentive Plan, as amended. During 2025, the Company did not purchase any shares to satisfy such employee tax obligations.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December 31, 2025 is set forth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3"/>
                <w:szCs w:val="13"/>
                <w:color w:val="auto"/>
              </w:rPr>
            </w:pPr>
          </w:p>
        </w:tc>
        <w:tc>
          <w:tcPr>
            <w:tcW w:w="13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3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0" w:type="dxa"/>
            <w:vAlign w:val="bottom"/>
          </w:tcPr>
          <w:p>
            <w:pPr>
              <w:spacing w:after="0"/>
              <w:rPr>
                <w:sz w:val="12"/>
                <w:szCs w:val="12"/>
                <w:color w:val="auto"/>
              </w:rPr>
            </w:pPr>
          </w:p>
        </w:tc>
        <w:tc>
          <w:tcPr>
            <w:tcW w:w="13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3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3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0" w:type="dxa"/>
            <w:vAlign w:val="bottom"/>
          </w:tcPr>
          <w:p>
            <w:pPr>
              <w:spacing w:after="0"/>
              <w:rPr>
                <w:sz w:val="12"/>
                <w:szCs w:val="12"/>
                <w:color w:val="auto"/>
              </w:rPr>
            </w:pPr>
          </w:p>
        </w:tc>
        <w:tc>
          <w:tcPr>
            <w:tcW w:w="13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214,456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214,456</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90,900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90,900</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123,556</w:t>
            </w:r>
          </w:p>
        </w:tc>
        <w:tc>
          <w:tcPr>
            <w:tcW w:w="0" w:type="dxa"/>
            <w:vAlign w:val="bottom"/>
          </w:tcPr>
          <w:p>
            <w:pPr>
              <w:spacing w:after="0"/>
              <w:rPr>
                <w:sz w:val="1"/>
                <w:szCs w:val="1"/>
                <w:color w:val="auto"/>
              </w:rPr>
            </w:pPr>
          </w:p>
        </w:tc>
      </w:tr>
      <w:tr>
        <w:trPr>
          <w:trHeight w:val="228"/>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123,556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-156845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-156845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-156845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repurchase any shares of its common stock during the quarter ended December 31, 2025, other than through this publicly announced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572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4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2025 and December 31, 2024, stock purchases under the Stock Purchase Plan totaled 15,114 and 34,860 shares at an average purchase price of $6.06 and $6.40, respectively. At December 31, 2025, there were 416,945 shares available for purchases under the Plan. On February 16, 2026, the Company's Board of Directors approved the termination of the Company’s Employee Stock Purchase Plan. The termination will become effective on July 1, 2026, following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completion of the current offering period ending June 30, 2026. Shares issuable under the current offering period will be issued in accordance with the terms of the plan, and no additional offering periods will commence thereafter.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should be read in conjunction with our Consolidated Financial Statements and accompanying Notes included in this Annual Report on Form 10-K.</w:t>
      </w:r>
    </w:p>
    <w:p>
      <w:pPr>
        <w:spacing w:after="0" w:line="15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18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Beginning in the 2026 fiscal year, the Company plans to revise its segment structure to align with changes in how the Chief Operating Decision Maker (“CODM”) will be evaluating operating performance and allocating resources. These changes are driven by the Company’s operating strategy, which aligns the organization around account-centric management, industry-focused leadership, and an integrated approach to Talent and Services offerings.</w:t>
      </w:r>
    </w:p>
    <w:p>
      <w:pPr>
        <w:spacing w:after="0" w:line="11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revised structure, the Company intends to transition from its current reportable segments of Data and Analytics and IT Staffing Services to the newly formed Talent and Services segments. The revised segment structure is expected to be effective for external reporting beginning in the 2026 fiscal year pending finalization of the Company’s analysis under ASC 280. Any changes to the Company’s segment reporting in future periods will include recasting prior period segment information in accordance with ASC 280.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Trends and Outlook</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business, particularly within our IT Staffing Services segment, is closely correlated with general North American economic conditions and employment levels. Demand for our services typically increases during periods of economic expansion and strengthening labor markets, and declines during periods of economic contraction or reduced hiring activity. During 2025, hiring activity across certain technology and professional services sectors remained cautious, as clients continued to evaluate discretionary spending and workforce needs in light of broader economic uncertainty and elevated interest rates. These conditions contributed to reduced demand for our staffing and related services, resulting in lower revenue in both of our business segments compared to the prior year. Although overall labor market conditions have eased compared to prior years, compensation levels for certain specialized IT roles remain elevated. In a softer demand environment, competitive pricing conditions also affected our gross margins.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Looking ahead, demand for our services is expected to remain influenced by overall economic growth, corporate hiring trends, and client confidence levels. Continued macroeconomic uncertainty or reduced business investment could further impact project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and staffing demand in future periods.</w:t>
      </w:r>
    </w:p>
    <w:p>
      <w:pPr>
        <w:spacing w:after="0" w:line="22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to general economic conditions in the markets we serve, a significant portion of our revenue is derived from a limited number of clients (see Item 1A, the Risk Factor entitled “Our revenues are highly concentrated, and the loss of a significant client would adversely affect our business and revenues”). As a result, our operating results may be materially influenced by the financial performance, hiring activity, and business priorities of these clients. Changes in spending levels or project activity by one or more significant clients may cause our results to vary from broader economic trends in a given period.</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meaningful portion of revenue is generated through strategic relationships with systems integrators. In addition, many large end users utilize managed service providers (“MSPs”) to oversee contractor engagement and pricing. These intermediated delivery models may reduce pricing flexibility and could continue to exert pressure on our gross margins.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Demand for expertise in emerging and advanced technologies, including cloud computing, cybersecurity, artificial intelligence, data analytics, and automation, continues to influence client investment priorities across both of our business segments. While these areas present potential opportunities, demand for these skill sets can be uneven and highly dependent on client budgets and project timing. In addition, the availability of qualified professionals in certain specialized areas remains limited, which can affect fulfillment rates, compensation levels, and margins.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and report our business in two reporting segments — Data and Analytics Services and IT Staffing Services.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revenues and gross profit margins by segment for the periods discussed:</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Revenues &amp; Gross Margin by Segment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(Revenues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36.6</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158.1</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162.3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191.4</w:t>
            </w:r>
          </w:p>
        </w:tc>
        <w:tc>
          <w:tcPr>
            <w:tcW w:w="4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198.9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201.1</w:t>
            </w:r>
          </w:p>
        </w:tc>
        <w:tc>
          <w:tcPr>
            <w:tcW w:w="0" w:type="dxa"/>
            <w:vAlign w:val="bottom"/>
          </w:tcPr>
          <w:p>
            <w:pPr>
              <w:spacing w:after="0"/>
              <w:rPr>
                <w:sz w:val="1"/>
                <w:szCs w:val="1"/>
                <w:color w:val="auto"/>
              </w:rPr>
            </w:pPr>
          </w:p>
        </w:tc>
      </w:tr>
      <w:tr>
        <w:trPr>
          <w:trHeight w:val="197"/>
        </w:trPr>
        <w:tc>
          <w:tcPr>
            <w:tcW w:w="6300" w:type="dxa"/>
            <w:vAlign w:val="bottom"/>
            <w:tcBorders>
              <w:top w:val="single" w:sz="8" w:color="CFF0FC"/>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Margin %</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49.1%</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FF0FC"/>
            </w:tcBorders>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Total Gross Margin %</w:t>
            </w:r>
            <w:r>
              <w:rPr>
                <w:rFonts w:ascii="Times New Roman" w:cs="Times New Roman" w:eastAsia="Times New Roman" w:hAnsi="Times New Roman"/>
                <w:sz w:val="24"/>
                <w:szCs w:val="24"/>
                <w:b w:val="1"/>
                <w:bCs w:val="1"/>
                <w:color w:val="auto"/>
                <w:vertAlign w:val="superscript"/>
              </w:rPr>
              <w:t>(1)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27.9%</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00" w:firstLine="517"/>
        <w:spacing w:after="0" w:line="284" w:lineRule="auto"/>
        <w:tabs>
          <w:tab w:leader="none" w:pos="76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margin differences between the supplemental segment and consolidated results primarily reflect non-allocated severance expense of $0.3 million recorded in cost of goods sold during the third quarter of 2025.</w:t>
      </w:r>
    </w:p>
    <w:p>
      <w:pPr>
        <w:spacing w:after="0" w:line="376"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and marketing, operations, general and administrative, amortization of acquired intangible assets, employment-related claim, net of recoveries, goodwill impairment, severance expense and finance and accounting transition for the periods discussed: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General &amp; Administrative (“SG&amp;A”) Expense Details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General &amp; Administrative Expenses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14.7</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51.8</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-2420620</wp:posOffset>
            </wp:positionV>
            <wp:extent cx="1282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-2420620</wp:posOffset>
            </wp:positionV>
            <wp:extent cx="1193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9380"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-1602105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-1585595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-1602105</wp:posOffset>
            </wp:positionV>
            <wp:extent cx="93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-1585595</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-1028065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-1028065</wp:posOffset>
            </wp:positionV>
            <wp:extent cx="93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Revenues for the year ended December 31, 2025 totaled $191.4 million, compared to $198.9 million for the year ended December 31, 2024. This 3.8% decline in total revenues reflected a decrease in revenues of 9.1% in our Data and Analytics Services segment and a 2.6% revenue decrease in our IT Staffing Services segment.</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segment’s 2025 revenues decreased to $33.3 million from $36.6 million in 2024. This decrease was largely due to a decrease in client spending on existing projects and lower bookings performance in 2025. Bookings in 2025 totaled $34.8 million, compared to $41.0 million reported in 2024.</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IT Staffing Services segment’s 2025 revenues declined modestly, compared to 2024 revenues due to a lower average level of billable consultants during the the year compared to 2024. We ended 2025 with 840 billable consultants, compared to 1,008 billable consultants at the end of 2024, a decrease of 16.7%. Our average IT staffing bill rate for 2025 totaled $86.10 per hour compared to $82.77 per hour in 2024. This bill rate increase was due to higher rates on new assignments and was reflective of the type of skill sets that we deployed. Permanent placement / fee revenues totaled $0.8 million in 2025, compared to $0.9 million a year ago.</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2025, we had three clients that exceeded 10% of total revenues (Fidelity = 16.7%, Populus = 12.1% and CGI = 10.8%). In 2024, we had two client that exceeded 10% of total revenues (CGI = 14.5% and Populas = 10.7%). Our top ten clients represented 58% of total revenues in 2025 and 54% of total revenues in 2024. Additionally, our largest industry vertical, financial services, represented approximately 54% of total revenues in 2025, compared to approximately 49% in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Gross profit decreased to $53.1 million in 2025, compared to $55.6 million in 2024, a decrease of 4.6% on a year-over-basis. Gross profit as a percentage of revenue totaled 27.7% in both 2025, compared to 27.9% in 2024. Excluding the $0.3 million of severance expense, gross profit as a percentage of revenue was 27.9% for 2025.</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in 2025 were 46.2%, which was 290-basis points lower than the 49.1% gross margins that we achieved in 2024. The decrease reflected lower utilization rates through 2025 when compared to 2024, as well as a few key project ends. Including the $0.3 million of severance expense, gross margins were 45.4% for our Data and Analytics Services segment for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Gross margins in our IT Staffing Services segment were 24.0% in 2025, compared to 23.2% in 2024. This 80-basis point increase was primarily due to higher bill rates during 2025 when compared to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SG&amp;A expenses in 2025 totaled $53.1 million and represented 27.7% of total revenues, compared to $51.8 million or 26.0% of revenues in 2024. When excluding the amortization of acquired intangible assets, severance expenses and finance and accounting transition expense in 2025, and the amortization of acquired intangible assets and severance expenses in 2024, the adjusted SG&amp;A expenses related to operations as a percentage of revenues was 23.9% in 2025 versus 23.6% in 2024. The increase in SG&amp;A as a percentage of revenues, excluding these items mentioned above, was largely due to higher general and administrative expenses in both business segments, partially offset by lower sales and operations expenses.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2025 compared to 2024 included the following:</w:t>
      </w:r>
    </w:p>
    <w:p>
      <w:pPr>
        <w:spacing w:after="0" w:line="333" w:lineRule="exact"/>
        <w:rPr>
          <w:sz w:val="20"/>
          <w:szCs w:val="20"/>
          <w:color w:val="auto"/>
        </w:rPr>
      </w:pPr>
    </w:p>
    <w:p>
      <w:pPr>
        <w:ind w:left="900" w:right="60" w:hanging="383"/>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$2.2 million lower in 2025 compared to the previous year. In our IT Staffing Services segment, sales expense decreased by $1.7 million due to lower compensation expenses resulting from headcount reductions and lower marketing spend. In the Data and Analytics Services segment, sales expense decreased by $0.5 million due to a decrease in marketing and event expenses and lower compensation expenses resulting from headcount reductions.</w:t>
      </w:r>
    </w:p>
    <w:p>
      <w:pPr>
        <w:spacing w:after="0" w:line="71"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$1.9 million compared to 2024. In our IT Staffing Services segment operations expense decreased $1.8 million in 2025, due to lower compensation expenses resulting from headcount reduction and lower legal fees. Operations expenses in our Data and Analytics Services segment decreased by $0.1 million in 2025, due to lower recruiting and travel costs.</w:t>
      </w:r>
    </w:p>
    <w:p>
      <w:pPr>
        <w:spacing w:after="0" w:line="67" w:lineRule="exact"/>
        <w:rPr>
          <w:rFonts w:ascii="Times New Roman" w:cs="Times New Roman" w:eastAsia="Times New Roman" w:hAnsi="Times New Roman"/>
          <w:sz w:val="18"/>
          <w:szCs w:val="18"/>
          <w:color w:val="auto"/>
        </w:rPr>
      </w:pPr>
    </w:p>
    <w:p>
      <w:pPr>
        <w:ind w:left="900" w:right="200" w:hanging="383"/>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$2.9 million in 2025 compared to 2024. The increase was primarily attributable to higher executive compensation, including stock-based compensation, as well as recruiting fees and travel costs associated with leadership changes during the year. In addition, audit and other professional services fees and software licensing costs increased compared to the prior year. The Data and Analytics Services segment accounted for $1.5 million of the increase, while the IT Staffing Services segment accounted for $1.4 million, reflecting similar cost drivers across both segments.</w:t>
      </w:r>
    </w:p>
    <w:p>
      <w:pPr>
        <w:spacing w:after="0" w:line="75"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$2.6 million in 2025 versus $2.7 million in 2024, as a portion of our intangible assets became fully amortized in 2025.</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$2.8 million in 2025 versus $2.1 million in 2024. Severance in both years largely related to executive leadership departures.</w:t>
      </w:r>
    </w:p>
    <w:p>
      <w:pPr>
        <w:spacing w:after="0" w:line="53" w:lineRule="exact"/>
        <w:rPr>
          <w:rFonts w:ascii="Times New Roman" w:cs="Times New Roman" w:eastAsia="Times New Roman" w:hAnsi="Times New Roman"/>
          <w:sz w:val="18"/>
          <w:szCs w:val="18"/>
          <w:color w:val="auto"/>
        </w:rPr>
      </w:pPr>
    </w:p>
    <w:p>
      <w:pPr>
        <w:ind w:left="900" w:right="60" w:hanging="383"/>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transition expenses totaled $1.9 million in 2025, compared to no comparable expense in 2024. These costs were incurred in connection with the Board of Directors’ decision to transition the Company’s finance and accounting functions to India as part of a long-term cost optimization initiative. The expenses primarily consisted of severance, retention bonuses, and travel costs associated with training and knowledge transfer activities. The transition was completed as of December 31, 2025, and the Company does not expect to incur additional finance and accounting transition expenses in future periods.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2025, other income consisted of net interest income of $844,000 and foreign exchange gains of $217,000. In 2024, other income consisted of interest income of $606,000 and foreign exchange gains of $27,000. The increase in interest income was due to a higher balance of cash on hand in 2025 compared to 2024. Net foreign exchange gains in 2025 compared to 2024 reflected exchange rate variations between the Indian rupee and the Canadian dollar compared to the U.S. dollar.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for 2025 was $0.5 million and represented an effective tax rate on pre-tax income of 42.7%, compared to $1.0 million in 2024, which represented an effective tax rate on pre-tax income of 23.1%. The 2025 effective tax rate was largely impacted by disallowed executive compensation and return to provision items, compared to 2024 which was largely impacted by a worthless stock deduction recognized on the dissolution of our Singapore entity in 2024. Both periods were impacted by shortfalls in expected tax benefits from stock options/restricted stock and state income taxes. See additional information in Note 11.</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Revenues for the year ended December 31, 2024 totaled $198.9 million, compared to $201.1 million for the year ended December 31, 2023. This 1.1% decline in total revenues reflected an increase in revenues of 6.6% in our Data and Analytics Services segment and a 2.6% revenue decrease in our IT Staffing Services segment. Both segments showed revenue run-rate improvements when comparing the fourth quarter of 2024 to the fourth quarter of 2023.</w:t>
      </w:r>
    </w:p>
    <w:p>
      <w:pPr>
        <w:spacing w:after="0" w:line="15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segment’s 2024 revenues increased to $36.6 million from $34.4 million in 2023. This increase was largely due to an increase in client spending on existing projects and a strong bookings performance in the fourth quarter of 2023. Bookings in 2024 totaled $41 million, in-line with full year 2023’s bookings performance.</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IT Staffing Services segment’s 2024 revenues declined modestly, compared to 2023 revenues due to a lower average level of billable consultants during the first half of 2024 compared to the first half of 2023. However, we ended 2024 with 1,008 billable consultants, compared to 946 billable consultants at the end of 2023, an increase of 6.6%. Our average IT staffing bill rate for 2024 totaled $82.77 per hour compared to $78.84 per hour in 2023. This bill rate increase was due to higher rates on new assignments and was reflective of the type of skill sets that we deployed. Permanent placement / fee revenues totaled $0.9 million in 2024, compared to $0.8 million in 2023.</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2024, we had two clients that exceeded 10% of total revenues (CGI = 14.5% and Populus = 10.7%). In 2023, we had one client that exceeded 10% of total revenues (CGI = 22.5%). Our top ten clients represented 54% of total revenues in 2024 and 53% of total revenues in 2023. Additionally, our largest industry vertical, financial services, represented approximately 49% of total revenues in 2024, compared to approximately 50% in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Gross profit increased to $55.6 million in 2024, compared to $51.0 million in 2023, an increase of 8.9% on a year-over-basis. Gross profit as a percentage of revenue totaled 27.9% in 2024, compared to 25.4% in 2023.</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in 2024 were 49.1%, which was 560-basis points higher than the 43.5% gross margins that we achieved in 2023. The increase reflected higher utilization and improved delivery efficiencies during 2024 when compared to 2023.</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Gross margins in our IT Staffing Services segment were 23.2% in 2024, compared to 21.6% in 2023. This 160-basis point increase was due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higher gross margins on new assignments and favorable medical claim experience related to our self-insured program during 2024 when compared to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SG&amp;A expenses in 2024 totaled $51.8 million and represented 26.0% of total revenues, compared to $60.3 million or 30.0% of revenues in 2023. When excluding the amortization of acquired intangible assets and severance expenses in 2024, and the amortization of acquired intangible assets, severance expenses, an employment-related claim, net of recoveries, and goodwill impairment in 2023, the adjusted SG&amp;A expenses related to operations as a percentage of revenues was 23.6% in 2024 versus 23.2% in 2023. The increase in SG&amp;A as a percentage of revenues, excluding these items mentioned above, was largely due to higher sales expense in both business segments, partially offset by lower general and administrative expenses.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2024 compared to 2023 included the following:</w:t>
      </w:r>
    </w:p>
    <w:p>
      <w:pPr>
        <w:spacing w:after="0" w:line="117" w:lineRule="exact"/>
        <w:rPr>
          <w:sz w:val="20"/>
          <w:szCs w:val="20"/>
          <w:color w:val="auto"/>
        </w:rPr>
      </w:pPr>
    </w:p>
    <w:p>
      <w:pPr>
        <w:ind w:left="900" w:right="280" w:hanging="383"/>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$1.6 million higher in 2024 compared to the previous year. In the Data and Analytics Services segment, sales expense increased by $0.8 million due to an increase in marketing and event expenses and higher compensation expenses. IT staffing sales expense increased by $0.8 million due to higher commissions and bonus expense of $0.5 million and higher variable expense items due to increased activity levels in 2024.</w:t>
      </w:r>
    </w:p>
    <w:p>
      <w:pPr>
        <w:spacing w:after="0" w:line="71" w:lineRule="exact"/>
        <w:rPr>
          <w:rFonts w:ascii="Times New Roman" w:cs="Times New Roman" w:eastAsia="Times New Roman" w:hAnsi="Times New Roman"/>
          <w:sz w:val="18"/>
          <w:szCs w:val="18"/>
          <w:color w:val="auto"/>
        </w:rPr>
      </w:pPr>
    </w:p>
    <w:p>
      <w:pPr>
        <w:jc w:val="both"/>
        <w:ind w:left="900" w:right="20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$0.4 million compared to 2023. In our Data and Analytics Services segment, operations expense decreased by $0.6 million due to lower staff headcount. Operations expense in our IT Staffing Services segment increased $0.2 million in 2024, due to higher commission expenses largely during the second half of the year.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00" w:right="40" w:hanging="383"/>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expenses decreased by $0.9 million in 2024 compared to 2023. Our Data and Analytics Services segment was responsible for $2.2 million of this decline due to lower executive leadership staff and professional services expense related to an employment-related claim in 2023. The IT Staffing Services segment had higher general and administrative expenses in 2024 of $1.3 million compared to 2023, largely due to strategic consulting expenses related to our Primentor agreement and higher bonus expenses.</w:t>
      </w:r>
    </w:p>
    <w:p>
      <w:pPr>
        <w:spacing w:after="0" w:line="71"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$2.7 million in 2024 versus $2.8 million in 2023, as a portion of our intangible assets became fully amortized in 2024.</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$2.1 million in 2024 versus $2.4 million in 2023. Severance in both years largely related to executive leadership departures.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employment-related claim expense, net of recoveries, totaled $3.1 million in 2023, compared to no expense in 2024.</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totaled $5.3 million in 2023, compared to no impairment charge in 2024. The 2023 charge pertained to our Data and Analytics Services segment.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2024, other income / (expense) consisted of net interest income of $606,000 and foreign exchange gains of $27,000. In 2023, other income / (expense) consisted of interest income of $319,000 and foreign exchange losses of ($75,000). The increase in interest income was due to a higher balance of cash on hand in 2024 compared to 2023, partially offset by interest rate reductions in 2024. Net foreign exchange gains (losses) in 2024 compared to 2023 reflected exchange rate variations between the Indian rupee and the Canadian dollar compared to the U.S. dollar.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(benefit) for 2024 was $1.0 million and represented an effective tax rate on pre-tax income of 23.1%, compared to ($1.9 million) in 2023, which represented an effective tax rate on pre-tax (loss) of (21.0%). The 2024 effective tax rate compared to 2023 reflected a worthless stock deduction recognized on the dissolution of our Singapore entity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Conditions and Liquidity</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December 31, 2025, we had cash balances on hand of $36.5 million, no bank debt outstanding and approximately $19.9 million of borrowing capacity under our existing credit facility.</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at year-end 2025 increased slightly to 54-days compared to 52-days at year-end 2024.</w:t>
      </w:r>
    </w:p>
    <w:p>
      <w:pPr>
        <w:spacing w:after="0" w:line="183"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our cash and cash equivalent balances on hand at December 31, 2025 and current availability under our existing credit facility are expected to be adequate to fund our business needs over the next 12 months, including potential repurchases under the $5.0 million share repurchase authorization approved by our Board of Directors on February 16, 2026, but excluding any significant acquisition-related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cash flow activities for the periods discussed: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Activities</w:t>
            </w: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millions)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675"/>
        </w:trPr>
        <w:tc>
          <w:tcPr>
            <w:tcW w:w="3480" w:type="dxa"/>
            <w:vAlign w:val="bottom"/>
          </w:tcPr>
          <w:p>
            <w:pPr>
              <w:spacing w:after="0"/>
              <w:rPr>
                <w:sz w:val="24"/>
                <w:szCs w:val="24"/>
                <w:color w:val="auto"/>
              </w:rPr>
            </w:pPr>
          </w:p>
        </w:tc>
        <w:tc>
          <w:tcPr>
            <w:tcW w:w="30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3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Cash provided by (used in) operating activities for the years ended December 31, 2025, 2024 and 2023 totaled $11.1 million, $7.2 million, and $16.0 million, respectively. In 2025, cash flows from operating activities included net income of $0.6 million, non-cash charges of $3.2 million and a decrease in operating working capital of $7.4 million. In 2024, cash flows from operating activities included net income of $3.4 million, non-cash charges of $6.1 million and an increase in operating working capital of ($2.3 million). In 2023, cash flows from operating activities included a net (loss) of ($7.1 million), non-cash charges of $10.6 million and decreases in operating working capital of $12.5 million. The 2025 reduction in operating working capital was primarily due to lower accounts receivable, reflecting decreased revenue levels and the timing of billings and collections, as well as decreases in prepaid and other current assets. These favorable working capital changes were partially offset by a $2.0 million payment of deferred compensation during 2025. The 2024 increase in operating working capital reflected higher activities levels as accounts receivable and prepaid expenses increased. The 2023 reduction in operating working capital was due to lower accounts receivable, reflecting significant revenue declines during the year.</w:t>
      </w:r>
    </w:p>
    <w:p>
      <w:pPr>
        <w:spacing w:after="0" w:line="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Operating working capital levels are generally correlated with revenue trends. If revenue levels increase in future periods, we would expect operating working capital requirements to increase accordingly, which could reduce cash generated from operating activities. Conversely, sustained lower revenue levels may result in reduced working capital requirements.</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Days sales outstanding may fluctuate based on revenue mix, as data and analytics services engagements typically experience higher DSO levels than IT staffing engagements. Changes in revenue composition could therefore impact overall working capital requirements in future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2025, 2024 and 2023 totaled $(0.5) million, $(0.9) million and $(0.2) million, respectively. In 2025, cash (used in) investing activities was primarily comprised of capital expenditures totaling ($0.4) million and payments of ($0.1) million for non-current deposits. In 2024, cash (used in) investing activities consisted entirely of capital expenditures totaling ($0.9) million, largely related to computer equipment and cyber-security investments. In 2023, cash (used in) investing activities consisted of ($0.3) million of capital expenditures and a $0.1 million recovery of non-current office lease deposits.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2025, cash (used in) financing activities totaled ($1.1 million) and included ($2.2 million) for the repurchase of common stock under the Company’s share repurchase program, partially offset by $1 million of proceeds from the exercise of stock options and $0.1 million of proceeds from the issuance of common shares under our employee stock purchase plan. In 2024, cash provided by financing activities totaled $0.7 million and included $0.2 million of proceeds from the issuance of common shares under our employee stock purchase plan and $0.5 million of proceeds from the exercise of stock options, partially offset by the repurchase of common stock under the Company’s share repurchase program. In 2023, cash (used in) financing activities totaled ($1.6 million) and included ($1.1 million) of debt repayments, ($0.6 million) of common stock repurchases, partially offset by proceeds from our issuance of common shares under our employee stock purchase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On January 12, 2024, the Company entered into a consulting agreement with Primentor, Inc. to provide strategic advisory and management consulting services, as well as any other business and organizational strategy services as the Board of Directors of the Company may reasonably request from time to time. During 2025 and 2024, the Company incurred consulting expenses of approximately $0.5 million and $0.4 million related to these services. For 2026, the Company expects to pay Primentor approximately $0.2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Employment-Related Claims Against the Company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8 “Commitment and Contingencies” to the Notes to the Consolidated Financial Statements, included in Item 8 herein, a former employee who resigned from his employment with the Company in November 2022 asserted various employment-related claims against the Company. During the third quarter of 2023, the Company settled this claim for $3.1 million, net of recoveries, under the terms of a confidential settlement agreement. In addition to the settlement amount, we incurred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approximately $0.9 million in professional services fees related to this matter during 2023. The settlement amount and the professional fees are included in selling, general and administrative expenses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Finance and Accounting Functions to be Transitioned to India from the U.S.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Board of Directors approved a long-term cost optimization initiative to transition the Company’s finance and accounting functions from the United States to India. The transition was completed as of December 31, 2025. During 2025, the Company incurred approximately $1.9 million of transition-related expenses, consisting primarily of severance, retention bonuses, and travel costs associated with training and knowledge transfer activities. These expenses were included within general and administrative expenses.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to incur additional transition-related expenses in future periods as the initiative has been fully implemented. The Company expects this initiative to generate annualized cost savings of approximately $1.2 million beginning in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this annual report on Form 10-K for a discussion about risks that inflation directly or indirectly may pose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historically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w:t>
      </w:r>
    </w:p>
    <w:p>
      <w:pPr>
        <w:sectPr>
          <w:pgSz w:w="11900" w:h="16838" w:orient="portrait"/>
          <w:cols w:equalWidth="0" w:num="1">
            <w:col w:w="11220"/>
          </w:cols>
          <w:pgMar w:left="320" w:top="117" w:right="359" w:bottom="1440" w:gutter="0" w:footer="0" w:header="0"/>
        </w:sect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receivables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review goodwill and intangible assets for impairment annually as of October 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2025, 2024 and 2023, we performed quantitative impairment tests related to our IT Staffing Services segment, which includes our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right="180" w:firstLine="509"/>
        <w:spacing w:after="0" w:line="274" w:lineRule="auto"/>
        <w:rPr>
          <w:sz w:val="20"/>
          <w:szCs w:val="20"/>
          <w:color w:val="auto"/>
        </w:rPr>
      </w:pPr>
      <w:r>
        <w:rPr>
          <w:rFonts w:ascii="Times New Roman" w:cs="Times New Roman" w:eastAsia="Times New Roman" w:hAnsi="Times New Roman"/>
          <w:sz w:val="17"/>
          <w:szCs w:val="17"/>
          <w:color w:val="auto"/>
        </w:rPr>
        <w:t>Additionally in 2025, 2024 and 2023, we performed quantitative impairment tests related to our Data and Analytics Services segment which includes the July 2017 acquisition of InfoTrellis and the October 2020 acquisition of AmberLeaf. The results of the 2025 and 2024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Operating 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affect income tax expense.</w:t>
      </w:r>
    </w:p>
    <w:p>
      <w:pPr>
        <w:spacing w:after="0" w:line="1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Guide Rule 711 and provided for grants of non-qualified stock options, restricted stock awards, stock awards, performance share awards and other stock-based awards (each, an “Inducement Award”). Effective May 14, 2025, the 2024 Inducement Stock Incentive Plan was terminated, 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2025 and 2024, the Company provided a valuation allowance of $435,000 and $452,000, respectively, related to the uncertainty of the realization of foreign net operating losses (“NOL”).</w:t>
      </w:r>
    </w:p>
    <w:p>
      <w:pPr>
        <w:spacing w:after="0" w:line="18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created a new requirement that certain income earned by foreign subsidiaries, known as global intangible low-tax income (“GILTI”), must be included in the gross income of their U.S. shareholder. The Financial Accounting Standards Board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78" w:lineRule="exact"/>
        <w:rPr>
          <w:sz w:val="20"/>
          <w:szCs w:val="20"/>
          <w:color w:val="auto"/>
        </w:rPr>
      </w:pPr>
    </w:p>
    <w:p>
      <w:pPr>
        <w:ind w:right="340" w:firstLine="509"/>
        <w:spacing w:after="0" w:line="267"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recognizes the effect of income tax positions only if those positions are more likely than not to be sustained under audit. As of December 31, 2025 and 2024, there were no uncertain tax positions for which a reserve or liability is necessary.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 (losses) in 2025 totaled $217,000; 2024 totaled $27,000; in 2023 we incurred losses of ($75,000).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 to the Consolidated Financial Statements contained in Item 8, herein.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we had no outstanding borrowings under our Credit Agreement with PNC Bank and certain other financial institution lenders (the “Credit Agreement”) — Refer to Note 5 — “Credit Facility” in the Notes to Consolidated Financial Statements, included in Item 8 herein. A hypothetical 10% increase in interest rates would have no impact on our annual interest expense. As of December 31, 2025, the Company has no interest-rate hedge vehicles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 hypothetical 10% increase or decrease in overall foreign currency rates in 2025 would not have a material impact on our consolidated financial statements. As our international operations grow, we will continue to evaluate and reassess our approach to managing the risks relating to fluctuations in currency rates.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filed as part of this Annual Report on Form 10-K. See Index to Consolidated Financial Statements on page 38 of this Annual Report on Form 10-K.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REPORTING</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December 31, 2025 have been audited by UHY LLP, an Independent Registered Public Accounting Firm. The Audit opinion is on page XX of this Annual Report on Form 10-K.</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Nirav Patel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Kannan Sugantharaman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3"/>
        </w:trPr>
        <w:tc>
          <w:tcPr>
            <w:tcW w:w="10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8"/>
                <w:szCs w:val="18"/>
                <w:color w:val="auto"/>
              </w:rPr>
            </w:pPr>
          </w:p>
        </w:tc>
        <w:tc>
          <w:tcPr>
            <w:tcW w:w="6120" w:type="dxa"/>
            <w:vAlign w:val="bottom"/>
            <w:gridSpan w:val="6"/>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0" w:type="dxa"/>
            <w:vAlign w:val="bottom"/>
            <w:tcBorders>
              <w:bottom w:val="single" w:sz="8" w:color="0000EE"/>
            </w:tcBorders>
          </w:tcPr>
          <w:p>
            <w:pPr>
              <w:spacing w:after="0"/>
              <w:rPr>
                <w:sz w:val="18"/>
                <w:szCs w:val="18"/>
                <w:color w:val="auto"/>
              </w:rPr>
            </w:pPr>
          </w:p>
        </w:tc>
        <w:tc>
          <w:tcPr>
            <w:tcW w:w="392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10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76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years ended December 31, 2025, 2024 and 2023</w:t>
            </w:r>
          </w:p>
        </w:tc>
        <w:tc>
          <w:tcPr>
            <w:tcW w:w="680" w:type="dxa"/>
            <w:vAlign w:val="bottom"/>
            <w:tcBorders>
              <w:top w:val="single" w:sz="8" w:color="0000FF"/>
            </w:tcBorders>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88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64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96"/>
        </w:trPr>
        <w:tc>
          <w:tcPr>
            <w:tcW w:w="686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Mastech Digital, Inc. and Subsidiaries (the “Company”) as of December 31, 2025 and 2024, and the related consolidated statements of operations, comprehensive income, shareholders’ equity, and cash flows for each of the years in the three-year period ended December 31, 2025, and the related notes and Schedule II, Valuation and Qualifying Accounts listed in the index at item 15(2) (collectively referred to as the “financial statements”). In our opinion, the financial statements referred to above present fairly, in all material respects, the consolidated financial position of Mastech Digital, Inc. and Subsidiaries at December 31, 2025 and 2024, and the consolidated results of their operations and their cash flows for each of the years in the three-year period ended December 31, 2025,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Valuation of 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 evaluates goodwill for impairment on an annual basis as of October 1 or more frequently if events or changes in circumstances indicate that the carrying value of the asset may not be recoverable. The goodwill balance as of December 31, 2025, was $27.2 million. The Company considers potential impairment by comparing the fair value of a reporting unit to its carrying value. Fair value is estimated by management using a discounted cash flow model.</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 flow model driven by management’s estimates and assumptions. Significant management estimates include forecasts for revenue, gross profit, long-term growth rates, and discount rates.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performed to evaluate the reasonableness of management’s estimates and assumptions included assessing the methodologies used by the Company and testing the significant assumptions used in the quantitative models. We compared current and prior year forecasts prepared by management to historical revenue and gross profit to evaluate the reasonableness of the assumptions and to evaluate management’s ability to accurately forecast future revenue and gross profit. We evaluated historical trends in assessing the reasonableness of growth rate assumptions and performed sensitivity analyses of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UHY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36,533</w:t>
            </w: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27,742</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$275 in 2025 and $311 in 2024</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20,648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23,845</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5,748</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7,598</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5,647</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7,020</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68,576</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66,205</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Equipment, enterprise software, and leasehold improvements, at cost: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3,817</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3,671</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Enterprise software</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4,185</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8,740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8,598</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Less – accumulated depreciation and amortization</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equipment, enterprise software, and leasehold improvements</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2,534</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net</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deposits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Goodwill, net of impairment</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27,210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27,210</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 of amortization</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7,755</w:t>
            </w: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10,308</w:t>
            </w:r>
          </w:p>
        </w:tc>
        <w:tc>
          <w:tcPr>
            <w:tcW w:w="0" w:type="dxa"/>
            <w:vAlign w:val="bottom"/>
          </w:tcPr>
          <w:p>
            <w:pPr>
              <w:spacing w:after="0"/>
              <w:rPr>
                <w:sz w:val="1"/>
                <w:szCs w:val="1"/>
                <w:color w:val="auto"/>
              </w:rPr>
            </w:pPr>
          </w:p>
        </w:tc>
      </w:tr>
      <w:tr>
        <w:trPr>
          <w:trHeight w:val="196"/>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111,840</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111,484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3,451</w:t>
            </w: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4,683</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15,391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96"/>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21,064</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20,577</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liability, less current portion</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Long-term accrued income taxes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severance liability</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22,532</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24,050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8)</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20,000,000 shares authorized; none outstanding</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par value $.01; 100,000,000 shares authorized and 13,715,016 shares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issued as of December 31, 2025 and 13,444,712 shares issued as of December 31, 2024</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42,515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38,277</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56,427</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55,817</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stock, at cost; 2,022,864 shares as of December 31, 2025 and 1,723,341 as of</w:t>
            </w:r>
          </w:p>
        </w:tc>
        <w:tc>
          <w:tcPr>
            <w:tcW w:w="360" w:type="dxa"/>
            <w:vAlign w:val="bottom"/>
            <w:shd w:val="clear" w:color="auto" w:fill="CFF0FC"/>
          </w:tcPr>
          <w:p>
            <w:pPr>
              <w:spacing w:after="0"/>
              <w:rPr>
                <w:sz w:val="16"/>
                <w:szCs w:val="16"/>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December 31, 2024</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89,308</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87,434</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111,840</w:t>
            </w: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111,484</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-4739640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-4474210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-3436620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-2373630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-299085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191,371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198,943</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201,098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138,315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150,062</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FF0FC"/>
          </w:tcPr>
          <w:p>
            <w:pPr>
              <w:spacing w:after="0"/>
              <w:rPr>
                <w:sz w:val="18"/>
                <w:szCs w:val="18"/>
                <w:color w:val="auto"/>
              </w:rPr>
            </w:pPr>
          </w:p>
        </w:tc>
      </w:tr>
      <w:tr>
        <w:trPr>
          <w:trHeight w:val="209"/>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5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53,055</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60,311</w:t>
            </w:r>
          </w:p>
        </w:tc>
        <w:tc>
          <w:tcPr>
            <w:tcW w:w="100" w:type="dxa"/>
            <w:vAlign w:val="bottom"/>
            <w:tcBorders>
              <w:top w:val="single" w:sz="8" w:color="CFF0FC"/>
            </w:tcBorders>
          </w:tcPr>
          <w:p>
            <w:pPr>
              <w:spacing w:after="0"/>
              <w:rPr>
                <w:sz w:val="18"/>
                <w:szCs w:val="18"/>
                <w:color w:val="auto"/>
              </w:rPr>
            </w:pPr>
          </w:p>
        </w:tc>
      </w:tr>
      <w:tr>
        <w:trPr>
          <w:trHeight w:val="209"/>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(9,275)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51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(9,031)</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r>
      <w:tr>
        <w:trPr>
          <w:trHeight w:val="20"/>
        </w:trPr>
        <w:tc>
          <w:tcPr>
            <w:tcW w:w="51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(7,138)</w:t>
            </w: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(0.61)</w:t>
            </w: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1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5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(0.61)</w:t>
            </w:r>
          </w:p>
        </w:tc>
      </w:tr>
      <w:tr>
        <w:trPr>
          <w:trHeight w:val="197"/>
        </w:trPr>
        <w:tc>
          <w:tcPr>
            <w:tcW w:w="5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5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-1910715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-1910715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-1344930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-1344930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-1062355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-1062355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-454025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-436880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-454025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-436880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-153670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8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6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pretax net unrealized (loss)</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6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6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(7,227)</w:t>
            </w:r>
          </w:p>
        </w:tc>
      </w:tr>
      <w:tr>
        <w:trPr>
          <w:trHeight w:val="20"/>
        </w:trPr>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-462280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-462280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32,059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59,553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86,003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81,444</w:t>
            </w: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38,277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55,817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87,434</w:t>
            </w:r>
          </w:p>
        </w:tc>
        <w:tc>
          <w:tcPr>
            <w:tcW w:w="0" w:type="dxa"/>
            <w:vAlign w:val="bottom"/>
          </w:tcPr>
          <w:p>
            <w:pPr>
              <w:spacing w:after="0"/>
              <w:rPr>
                <w:sz w:val="1"/>
                <w:szCs w:val="1"/>
                <w:color w:val="auto"/>
              </w:rPr>
            </w:pPr>
          </w:p>
        </w:tc>
      </w:tr>
      <w:tr>
        <w:trPr>
          <w:trHeight w:val="197"/>
        </w:trPr>
        <w:tc>
          <w:tcPr>
            <w:tcW w:w="3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56,426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89,308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-2142490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-2142490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-2142490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-2142490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-2142490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-1019175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-1002665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-1019175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-1002665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-1019175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-1002665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-1019175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-1002665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-1019175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-1002665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-170815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-170815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r>
      <w:tr>
        <w:trPr>
          <w:trHeight w:val="198"/>
        </w:trPr>
        <w:tc>
          <w:tcPr>
            <w:tcW w:w="55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w:t>
            </w:r>
          </w:p>
        </w:tc>
        <w:tc>
          <w:tcPr>
            <w:tcW w:w="1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34"/>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3,855</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Bad debt expense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3,082</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5,300</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deferred compensation</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Working capital items: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5,013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12,537</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r>
      <w:tr>
        <w:trPr>
          <w:trHeight w:val="209"/>
        </w:trPr>
        <w:tc>
          <w:tcPr>
            <w:tcW w:w="55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11,135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7,192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15,978</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Recovery of (payments for) non-current deposits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0"/>
        </w:trPr>
        <w:tc>
          <w:tcPr>
            <w:tcW w:w="55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14,090</w:t>
            </w:r>
          </w:p>
        </w:tc>
      </w:tr>
      <w:tr>
        <w:trPr>
          <w:trHeight w:val="216"/>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27,742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21,147</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7,057</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36,533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27,742</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21,147</w:t>
            </w: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w:t>
            </w:r>
          </w:p>
        </w:tc>
        <w:tc>
          <w:tcPr>
            <w:tcW w:w="1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 for interest expense</w:t>
            </w: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5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Cash payments for income taxes</w:t>
            </w:r>
          </w:p>
        </w:tc>
        <w:tc>
          <w:tcPr>
            <w:tcW w:w="1920" w:type="dxa"/>
            <w:vAlign w:val="bottom"/>
            <w:gridSpan w:val="2"/>
            <w:shd w:val="clear" w:color="auto" w:fill="CFF0FC"/>
          </w:tcPr>
          <w:p>
            <w:pPr>
              <w:jc w:val="right"/>
              <w:ind w:right="7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868</w:t>
            </w:r>
          </w:p>
        </w:tc>
        <w:tc>
          <w:tcPr>
            <w:tcW w:w="4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2,227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1,356</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-2605405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-2605405</wp:posOffset>
            </wp:positionV>
            <wp:extent cx="9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-2039620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-2039620</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-1207770</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-1207770</wp:posOffset>
            </wp:positionV>
            <wp:extent cx="93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-916305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-916305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-633730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-633730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ind w:left="520" w:right="7420" w:hanging="512"/>
        <w:spacing w:after="0" w:line="377" w:lineRule="auto"/>
        <w:tabs>
          <w:tab w:leader="none" w:pos="38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ind w:right="400" w:firstLine="509"/>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periods presented. Actual results could differ from these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are defined as cash and highly liquid debt investments with maturities of three months or less when purchased. Cash equivalents are stated at cost, which approximates market value.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Accounts Receivable and Unbilled Receivables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“Revenue from Contracts with Customers” for further details.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allowance for credit losses for the three years ended December 31, 2025 is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0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9"/>
        </w:trPr>
        <w:tc>
          <w:tcPr>
            <w:tcW w:w="3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expense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10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r>
      <w:tr>
        <w:trPr>
          <w:trHeight w:val="173"/>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offs)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142"/>
        </w:trPr>
        <w:tc>
          <w:tcPr>
            <w:tcW w:w="3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6"/>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0" w:type="dxa"/>
            <w:vAlign w:val="bottom"/>
          </w:tcPr>
          <w:p>
            <w:pPr>
              <w:spacing w:after="0"/>
              <w:rPr>
                <w:sz w:val="12"/>
                <w:szCs w:val="12"/>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528</w:t>
            </w: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Equipment, Enterprise Software and Leasehold Improvements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w:t>
      </w:r>
    </w:p>
    <w:p>
      <w:pPr>
        <w:jc w:val="both"/>
        <w:ind w:right="420" w:firstLine="8"/>
        <w:spacing w:after="0" w:line="255"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depreciable assets are primarily as follows: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Laptop Computers</w:t>
            </w:r>
          </w:p>
        </w:tc>
        <w:tc>
          <w:tcPr>
            <w:tcW w:w="19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3-4 years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9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3-5 years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 Software</w:t>
            </w:r>
          </w:p>
        </w:tc>
        <w:tc>
          <w:tcPr>
            <w:tcW w:w="19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3-5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fixed assets totaled $772,000, $806,000 and $1,083,000 for the years ended December 31, 2025, 2024 and 2023,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83" w:lineRule="exact"/>
        <w:rPr>
          <w:sz w:val="20"/>
          <w:szCs w:val="20"/>
          <w:color w:val="auto"/>
        </w:rPr>
      </w:pPr>
    </w:p>
    <w:p>
      <w:pPr>
        <w:ind w:right="540" w:firstLine="509"/>
        <w:spacing w:after="0" w:line="253" w:lineRule="auto"/>
        <w:rPr>
          <w:sz w:val="20"/>
          <w:szCs w:val="20"/>
          <w:color w:val="auto"/>
        </w:rPr>
      </w:pPr>
      <w:r>
        <w:rPr>
          <w:rFonts w:ascii="Times New Roman" w:cs="Times New Roman" w:eastAsia="Times New Roman" w:hAnsi="Times New Roman"/>
          <w:sz w:val="17"/>
          <w:szCs w:val="17"/>
          <w:color w:val="auto"/>
        </w:rPr>
        <w:t>We review goodwill and intangible assets for impairment annually as of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9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2025, 2024 and 2023, we performed quantitative impairment tests related to our IT Staffing Services segment, which includes the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2025, 2024 and 2023, we performed quantitative impairment tests related to our Data and Analytics Services segment which includes the July 2017 acquisition of InfoTrellis and the October 2020 acquisition of AmberLeaf. The results of these 2025 and 2024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w:t>
      </w:r>
    </w:p>
    <w:p>
      <w:pPr>
        <w:sectPr>
          <w:pgSz w:w="11900" w:h="16838" w:orient="portrait"/>
          <w:cols w:equalWidth="0" w:num="1">
            <w:col w:w="11200"/>
          </w:cols>
          <w:pgMar w:left="320" w:top="117" w:right="379" w:bottom="1440" w:gutter="0" w:footer="0" w:header="0"/>
        </w:sect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2025, 2024 and 2023, the Company provided a valuation allowance of $435,000, $452,000 and $628,000, respectively, related to the uncertainty of the realization of foreign net operating losses (“NOL”).</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78"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recognizes the effect of income tax positions only if those positions are more likely than not to be sustained under audit. As of December 31, 2025 and 2024, there were no uncertain tax positions for which a reserve or liability is necessary.</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expenses directly related to securing and amending its credit facilities. These deferred costs are amortized as interest expense over the term of the underlying credit facilities. Unamortized deferred financing costs are shown as a non-current asset in the Consolidated Balance Sheets.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ASC Topic 280 “Disclosures About Segments of an Enterprise and Related Information”: Data and Analytics and IT Staffing Services.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President and Chief Executive Officer ("CEO") regularly reviews financial information by reporting segment to make operating decisions. Significant financial metrics that are regularly reviewed for each reportable business segment include revenues, gross margin percent, operating income and segment expenses which are classified as selling &amp; marketing, operations, and general &amp; administrative. Other segment items that are not allocated to a reportable business segment include amortization, interest income/expense, foreign exchange gains/losses, severance, litigation settlements and other infrequent income/expense items.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Monthly revenue amounts by reportable business segment are reviewed by the CEO to evaluate when additional investments are needed. In addition, gross margin percent is used to evaluate operating efficiency which largely determines resource allocations for billable consultant hiring decisions. Finally, segment operating income is used to assess overall performance by each business segment.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(as amended and restated to date, the “Plan”). The Plan provides that up to 6,200,000 shares of the Company's common stock shall be allocated for issuance to directors, officers, employees and consultants of the Company. Grants under the Plan can be made in the form of stock options, stock appreciation rights, performance share awards, restricted stock awards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2018, the Company adopted the Mastech Digital, Inc. 2019 Employee Stock Purchase Plan (the “Stock Purchase Plan”). The Stock Purchase Plan is intended to meet the requirements of Section 423 of the Code and required the approval of the Company’s shareholders to be qualified under Section 423 of the Code. In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Company Guide Rule 711 and provided for grants of non-qualified stock options, restricted stock awards, stock awards, performance share awards and other stock-based awards (each, an “Inducement Award”). Effective May 14, 2025, the 2024 Inducement Stock Incentive Plan was terminated, 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ectPr>
          <w:pgSz w:w="11900" w:h="16838" w:orient="portrait"/>
          <w:cols w:equalWidth="0" w:num="1">
            <w:col w:w="11220"/>
          </w:cols>
          <w:pgMar w:left="320" w:top="117" w:right="3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On February 19, 2025, the Company announced that the Board of Directors had authorized an extension of its previously announced share repurchase program for an additional year through February 8, 2026. Repurchases under the program could occur from time to time in the open market, through privately negotiated transactions, through block purchases or other purchase techniques, or by any combination of such methods. During 2025, the Company repurchased 299,523 shares of common stock at an average price of $7.49 per share under this program. During 2024, the Company repurchased 9,222 shares of common stock at an average price of $8.70 per share under this program. On February 8, 2026, this share repurchase program expired by its terms.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During 2025 and 2024, the Company did not purchase any shares to satisfy such employee tax obligations.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held 2.0 million shares in its treasury at a cost of approximately $7.1 million. At December 31, 2024, the Company held 1.7 million shares in its treasury at a cost of approximately $4.8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as presented in the Consolidated Statements of Comprehensive Income (Loss) consists of net income (loss) and foreign currency translation adjustments.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and losses were not material in 2025, 2024 and 2023.</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computed using the weighted-average number of common shares outstanding during the period. Diluted earnings (loss)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 For the year ended December 31, 2025, all stock options and restricted shares were anti-dilutive and excluded from the computation of diluted (loss) per share due to the net loss.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adopted this ASU on January 1, 2025 which resulted in expanded disclosures as reflected in Note 11.</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is currently evaluating the impact of this ASU but does not expect it to have a material effect on its consolidated financial statements.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280"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w:t>
      </w:r>
    </w:p>
    <w:p>
      <w:pPr>
        <w:spacing w:after="0" w:line="176"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firstLine="513"/>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the contract qualifies as a series, or the promised services are highly interrelated and interdependent and therefore represent a combined single performance obligation.</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technology stack includes data management and analytics, cloud, mobility, social and automation. Our mainstream technologies include business intelligence / data warehousing; web services; enterprise resource planning</w:t>
      </w:r>
    </w:p>
    <w:p>
      <w:pPr>
        <w:spacing w:after="0" w:line="1" w:lineRule="exact"/>
        <w:rPr>
          <w:sz w:val="20"/>
          <w:szCs w:val="20"/>
          <w:color w:val="auto"/>
        </w:rPr>
      </w:pPr>
    </w:p>
    <w:p>
      <w:pPr>
        <w:ind w:right="340" w:firstLine="8"/>
        <w:spacing w:after="0" w:line="260" w:lineRule="auto"/>
        <w:tabs>
          <w:tab w:leader="none" w:pos="1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resource management; and e-Business solutions. We work with businesses and institutions with significant IT-spend and recurring staffing needs. We also support smaller organizations with their</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focused” temporary IT staffing requirements. In late 2023, we expanded our service offerings to include engineering staffing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is recognized over time.</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9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080" w:type="dxa"/>
            <w:vAlign w:val="bottom"/>
            <w:tcBorders>
              <w:top w:val="single" w:sz="8" w:color="CFF0FC"/>
            </w:tcBorders>
          </w:tcPr>
          <w:p>
            <w:pPr>
              <w:spacing w:after="0"/>
              <w:rPr>
                <w:sz w:val="18"/>
                <w:szCs w:val="18"/>
                <w:color w:val="auto"/>
              </w:rPr>
            </w:pPr>
          </w:p>
        </w:tc>
        <w:tc>
          <w:tcPr>
            <w:tcW w:w="128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ind w:right="14"/>
              <w:spacing w:after="0"/>
              <w:rPr>
                <w:sz w:val="20"/>
                <w:szCs w:val="20"/>
                <w:color w:val="auto"/>
              </w:rPr>
            </w:pPr>
            <w:r>
              <w:rPr>
                <w:rFonts w:ascii="Times New Roman" w:cs="Times New Roman" w:eastAsia="Times New Roman" w:hAnsi="Times New Roman"/>
                <w:sz w:val="18"/>
                <w:szCs w:val="18"/>
                <w:color w:val="auto"/>
              </w:rPr>
              <w:t>28,521</w:t>
            </w:r>
          </w:p>
        </w:tc>
        <w:tc>
          <w:tcPr>
            <w:tcW w:w="40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24,485</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FF0FC"/>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25,307</w:t>
            </w: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4,754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12,140</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9,051</w:t>
            </w:r>
          </w:p>
        </w:tc>
      </w:tr>
      <w:tr>
        <w:trPr>
          <w:trHeight w:val="210"/>
        </w:trPr>
        <w:tc>
          <w:tcPr>
            <w:tcW w:w="20" w:type="dxa"/>
            <w:vAlign w:val="bottom"/>
          </w:tcPr>
          <w:p>
            <w:pPr>
              <w:spacing w:after="0"/>
              <w:rPr>
                <w:sz w:val="18"/>
                <w:szCs w:val="18"/>
                <w:color w:val="auto"/>
              </w:rPr>
            </w:pPr>
          </w:p>
        </w:tc>
        <w:tc>
          <w:tcPr>
            <w:tcW w:w="3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33,275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36,625</w:t>
            </w:r>
          </w:p>
        </w:tc>
        <w:tc>
          <w:tcPr>
            <w:tcW w:w="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34,358</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IT Staffing Services Segment</w:t>
            </w:r>
          </w:p>
        </w:tc>
        <w:tc>
          <w:tcPr>
            <w:tcW w:w="1700" w:type="dxa"/>
            <w:vAlign w:val="bottom"/>
            <w:tcBorders>
              <w:bottom w:val="single" w:sz="8" w:color="CFF0FC"/>
            </w:tcBorders>
            <w:gridSpan w:val="2"/>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158,096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162,182</w:t>
            </w:r>
          </w:p>
        </w:tc>
        <w:tc>
          <w:tcPr>
            <w:tcW w:w="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166,740</w:t>
            </w: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158,096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162,318</w:t>
            </w:r>
          </w:p>
        </w:tc>
        <w:tc>
          <w:tcPr>
            <w:tcW w:w="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166,740</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3"/>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CFF0FC"/>
            </w:tcBorders>
            <w:shd w:val="clear" w:color="auto" w:fill="CFF0FC"/>
          </w:tcPr>
          <w:p>
            <w:pPr>
              <w:jc w:val="right"/>
              <w:ind w:right="14"/>
              <w:spacing w:after="0" w:line="196" w:lineRule="exact"/>
              <w:rPr>
                <w:sz w:val="20"/>
                <w:szCs w:val="20"/>
                <w:color w:val="auto"/>
              </w:rPr>
            </w:pPr>
            <w:r>
              <w:rPr>
                <w:rFonts w:ascii="Times New Roman" w:cs="Times New Roman" w:eastAsia="Times New Roman" w:hAnsi="Times New Roman"/>
                <w:sz w:val="18"/>
                <w:szCs w:val="18"/>
                <w:b w:val="1"/>
                <w:bCs w:val="1"/>
                <w:color w:val="auto"/>
              </w:rPr>
              <w:t>191,371</w:t>
            </w:r>
          </w:p>
        </w:tc>
        <w:tc>
          <w:tcPr>
            <w:tcW w:w="4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198,943</w:t>
            </w: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201,098</w:t>
            </w: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-916305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-916305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-333375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-333375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had three clients that individually accounted for more than 10% of total revenues in 2025: Fidelity (16.7%), Populus (12.1%), and CGI (10.8%). In 2024, two clients exceeded 10% of total revenues: CGI (14.5%) and Populus (10.7%). In 2023, one client, CGI, accounted for 22.5% of total revenues. At December 31, 2025 and 2024, CGI accounted for 20.0% and 27.0%, respectively, of the Company’s accounts receivable. Fidelity accounted for 18.0% and 6.0% of accounts receivable at December 31, 2025 and 2024, respectively. Populus accounted for 3.0% and 6.0% of accounts receivable at December 31, 2025 and 2024, respectively.</w:t>
      </w:r>
    </w:p>
    <w:p>
      <w:pPr>
        <w:spacing w:after="0" w:line="3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top ten clients represented approximately 58%, 54% and 53% of total revenues in 2025, 2024 and 2023, respectively. The following table presents our revenue from external customers disaggregated by geography, based on the work location of our customers: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8"/>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189,286</w:t>
            </w:r>
          </w:p>
        </w:tc>
        <w:tc>
          <w:tcPr>
            <w:tcW w:w="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195,455</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197,246</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w:t>
            </w: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1,378</w:t>
            </w:r>
          </w:p>
        </w:tc>
      </w:tr>
      <w:tr>
        <w:trPr>
          <w:trHeight w:val="209"/>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191,371</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198,943</w:t>
            </w:r>
          </w:p>
        </w:tc>
        <w:tc>
          <w:tcPr>
            <w:tcW w:w="1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201,098</w:t>
            </w:r>
          </w:p>
        </w:tc>
      </w:tr>
      <w:tr>
        <w:trPr>
          <w:trHeight w:val="20"/>
        </w:trPr>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-170815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Contract assets, shown as unbilled receivables in the Consolidated Balance Sheets, primarily relate to the right to consideration for work completed, but not billed at the reporting date on contracts with customers. The contract assets are transferred to receivables when the rights become unconditional. Contract liabilities, shown as deferred revenue in the Consolidated Balance Sheets, primarily relate to contracts where advance payments or deposits have been received, but performance obligations have not yet been satisfied and revenue has not been 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net accounts receivable from customers, contract assets and contract liabilities: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contracts, beginning of year</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23,845</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22,556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contracts, end of year</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20,648</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23,845</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beginning of year</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7,598</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7,259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end of year</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5,748</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7,598</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beginning of year</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329</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684</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end of year</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329</w:t>
            </w: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the majority of our contracts are one year or less when considering cancellation options, we have utilized the optional exemption under ASC 606-10-50-14 to not disclose information about the remaining performance obligations for contracts which have original expected durations of one year or less.</w:t>
      </w:r>
    </w:p>
    <w:p>
      <w:pPr>
        <w:spacing w:after="0" w:line="280"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IT.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three years ended December 31, 2025 is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(Amounts 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 recorded</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18"/>
                <w:szCs w:val="18"/>
                <w:color w:val="auto"/>
              </w:rPr>
            </w:pPr>
          </w:p>
        </w:tc>
      </w:tr>
      <w:tr>
        <w:trPr>
          <w:trHeight w:val="229"/>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8,427</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r>
        <w:trPr>
          <w:trHeight w:val="372"/>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142"/>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(Amounts 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18,783</w:t>
            </w:r>
          </w:p>
        </w:tc>
        <w:tc>
          <w:tcPr>
            <w:tcW w:w="1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24,083</w:t>
            </w: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 recorded</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w:t>
            </w:r>
          </w:p>
        </w:tc>
      </w:tr>
      <w:tr>
        <w:trPr>
          <w:trHeight w:val="230"/>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18,783</w:t>
            </w:r>
          </w:p>
        </w:tc>
        <w:tc>
          <w:tcPr>
            <w:tcW w:w="1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18,783</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-1199515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-1182370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-1199515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-1182370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Accumulative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15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278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7,028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278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278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278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19,641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278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278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2780" w:type="dxa"/>
            <w:vAlign w:val="bottom"/>
            <w:tcBorders>
              <w:bottom w:val="single" w:sz="8" w:color="CFF0FC"/>
            </w:tcBorders>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33,099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-1096645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-1096645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Accumulative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vMerge w:val="restart"/>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19,641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9"/>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33,099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years ended December 31, 2025, 2024 and 2023 totaled $2.6 million, $2.7 million and $2.8 million, respectively and is included in selling, general and administrative expenses in the Consolidated Statement of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2026 through 2030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r>
      <w:tr>
        <w:trPr>
          <w:trHeight w:val="124"/>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5"/>
          </w:tcPr>
          <w:p>
            <w:pPr>
              <w:jc w:val="center"/>
              <w:ind w:left="624"/>
              <w:spacing w:after="0" w:line="124"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2,413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248</w:t>
            </w:r>
          </w:p>
        </w:tc>
      </w:tr>
    </w:tbl>
    <w:p>
      <w:pPr>
        <w:spacing w:after="0" w:line="329"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had cash and cash equivalents consisting of cash balances on hand and money market funds that totaled $36.5 million at December 31, 2025 and $27.7 million at December 31, 2024. There were no restrictions on the Company’s cash balances during the periods presented.</w:t>
      </w:r>
    </w:p>
    <w:p>
      <w:pPr>
        <w:spacing w:after="0" w:line="266"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Exhibit 10.2 to the Form 8-K/A filed with the SEC on January 4, 2022 and Exhibit 10.12 to the Company’s Form 10-K filed with the SEC on March 15, 2024. Additionally, the facility includes an accordion feature for additional borrowing of up to $20 million upon satisfaction of certain conditions.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89" w:lineRule="exact"/>
        <w:rPr>
          <w:sz w:val="20"/>
          <w:szCs w:val="20"/>
          <w:color w:val="auto"/>
        </w:rPr>
      </w:pPr>
    </w:p>
    <w:p>
      <w:pPr>
        <w:ind w:right="560" w:firstLine="509"/>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2025, the Company was in compliance with all applicable provisions of the Credit Agreement.</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$95,000 and $189,000 (net of amortization) as of December 31, 2025, and December 31, 2024, respectively, are presented as long-term assets in the Company’s Consolidated Balance Sheets.</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and December 31, 2024, the Company’s outstanding borrowings under the Revolver totaled zero dollars; and unused borrowing capacity available was approximately $19.9 million and $22.6 million, respectively. There were no outstanding borrowings under the Term Loan at December 31, 2025, and December 31, 2024.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28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December 31, 2025, approximately 94,000 square feet of office space is utilized for our sales and recruiting offices, delivery centers, and corporate headquarters. All of our leases are classified as operating leases. The average initial lease term is 3.9 years. Several leases have an option to renew, at our sole discretion, for an additional term. Our present lease terms range from less than one-year to 3.8 years with a weighted average of 2.3 years. Leases with an initial term of twelve months or less are not recorded on the balance sheet.</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2,486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-1096645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327"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86"/>
        </w:trPr>
        <w:tc>
          <w:tcPr>
            <w:tcW w:w="4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2,597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2,421</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5.7%.</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years ended December 31, 2025, 2024 and 2023 totaled $1.6 million, $1.5 million and $1.7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cash paid for lease liabilities for the years ended December 31, 2025 totaled $1.4 million, $1.5 million and $1.6 million, respectively.</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year ended December 31, 2025 or 2024. New leases entered into during the years ended December 31, 2023 totaled $2.7 million . New leases are considered non-cash transactions.</w:t>
      </w:r>
    </w:p>
    <w:p>
      <w:pPr>
        <w:spacing w:after="0" w:line="279"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Severance Liability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recorded a $1.9 million liability based on the contractual terms of the severance agreement with its former President and Chief Executive Officer. In March 2025, the Company recorded an additional $1.4 million severance liability related to the severance agreement with its former Chief Financial Officer. As of December 31, 2025, $1.6 million is recorded in current liabilities and $0.3 million is recorded as a long-term liability in the Company’s Consolidated Balance Sheets, based on the expected timing of payments.</w:t>
      </w:r>
    </w:p>
    <w:p>
      <w:pPr>
        <w:spacing w:after="0" w:line="284"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asserted various employment-related claims against the Company, including a claim of wrongful termination. The Company settled this claim in 2023 and paid a $3.1 million settlement, net of recoveries, and incurred $0.9 million of professional service fees related to this matter. Both the professional services fees and the settlement amount, net of recoveries are included in Selling, General and Administrative expenses in the Consolidated Statement of Operations. There were no professional service fees related to this matter incurred in either 2025, or 2024.</w:t>
      </w:r>
    </w:p>
    <w:p>
      <w:pPr>
        <w:spacing w:after="0" w:line="18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U.S.-based salaried and W-2 hourly employees. Employees may contribute a percentage of eligible compensation to the Retirement Plan, subject to certain limits under the Code. The Company did not provide for any matching contributions for the three years ended December 31, 2025.</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Effective October 1, 2008, the Company adopted a Stock Incentive Plan. This stock incentive plan was amended and restated effective as of May 14, 2024 and further amended on May 14, 2025, (the “Plan”). The Plan provides that up to 6,200,000 shares of the Company’s common stock shall be allocated for issuance to directors, officers, employees and consultants of the Company. Grants under the Plan can be made in the form of stock options, stock appreciation rights, performance share awards, restricted stock awards or stock awards. As of December 31, 2025, the Company had 5,198,000 outstanding and/or exercised stock options, 24,000 vested performance shares and 365,000 outstanding and/or released restricted stock units that were issued under the Plan. Thus, as of December 31, 2025, the Company has 945,000 shares available for future grants under the Plan.</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and restricted stock awards generally vest over a three to five-year period and options expire after ten years from the grant date. Performance shares vest upon the achievement of the performance criteria and approval by the Compensation Committee of the Board of Directors.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is a summary of the Company’s stock option activity under the Plan for the three years ended December 31, 2025:</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2,326,000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2,097,000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2,420,000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2,991,000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outstanding “in the money” stock options under the Plan, using the year-end share price of $6.95 had an aggregate intrinsic value of $818,000. As of December 31, 2025, the intrinsic value of vested stock options under the Plan totaled $806,000. The total intrinsic value of options exercised under the Plan during 2025, 2024 and 2023 totaled $1,230,000, $281,000 and $0, respectively. The measurement date fair value of stock options vested under the Plan during 2025, 2024 and 2023 totaled $1,740,000, $2,525,000 and $3,317,000,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under the Plan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1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1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$0.01 to $4.00</w:t>
            </w:r>
          </w:p>
        </w:tc>
        <w:tc>
          <w:tcPr>
            <w:tcW w:w="2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208,000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$4.01 to $8.00</w:t>
            </w:r>
          </w:p>
        </w:tc>
        <w:tc>
          <w:tcPr>
            <w:tcW w:w="34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752,000</w:t>
            </w:r>
          </w:p>
        </w:tc>
        <w:tc>
          <w:tcPr>
            <w:tcW w:w="12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$8.01 to $12.00</w:t>
            </w:r>
          </w:p>
        </w:tc>
        <w:tc>
          <w:tcPr>
            <w:tcW w:w="348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605,000</w:t>
            </w:r>
          </w:p>
        </w:tc>
        <w:tc>
          <w:tcPr>
            <w:tcW w:w="12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34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1,352,000</w:t>
            </w:r>
          </w:p>
        </w:tc>
        <w:tc>
          <w:tcPr>
            <w:tcW w:w="12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15.24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2280" w:type="dxa"/>
            <w:vAlign w:val="bottom"/>
            <w:gridSpan w:val="2"/>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74,000</w:t>
            </w:r>
          </w:p>
        </w:tc>
        <w:tc>
          <w:tcPr>
            <w:tcW w:w="12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980" w:type="dxa"/>
            <w:vAlign w:val="bottom"/>
            <w:shd w:val="clear" w:color="auto" w:fill="CFF0FC"/>
          </w:tcPr>
          <w:p>
            <w:pPr>
              <w:spacing w:after="0"/>
              <w:rPr>
                <w:sz w:val="21"/>
                <w:szCs w:val="21"/>
                <w:color w:val="auto"/>
              </w:rPr>
            </w:pPr>
          </w:p>
        </w:tc>
        <w:tc>
          <w:tcPr>
            <w:tcW w:w="34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2,991,000</w:t>
            </w:r>
          </w:p>
        </w:tc>
        <w:tc>
          <w:tcPr>
            <w:tcW w:w="12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11.07</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1140" w:type="dxa"/>
            <w:vAlign w:val="bottom"/>
          </w:tcPr>
          <w:p>
            <w:pPr>
              <w:spacing w:after="0"/>
              <w:rPr>
                <w:sz w:val="24"/>
                <w:szCs w:val="24"/>
                <w:color w:val="auto"/>
              </w:rPr>
            </w:pPr>
          </w:p>
        </w:tc>
        <w:tc>
          <w:tcPr>
            <w:tcW w:w="298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ind w:right="4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-950595</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-933450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-950595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-933450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1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5"/>
                <w:szCs w:val="15"/>
                <w:color w:val="auto"/>
              </w:rPr>
            </w:pPr>
          </w:p>
        </w:tc>
        <w:tc>
          <w:tcPr>
            <w:tcW w:w="11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$0.01 to $4.00</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208,000</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$4.01 to $8.00</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385,000</w:t>
            </w:r>
          </w:p>
        </w:tc>
        <w:tc>
          <w:tcPr>
            <w:tcW w:w="12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$8.01 to $12.00</w:t>
            </w: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203,000</w:t>
            </w:r>
          </w:p>
        </w:tc>
        <w:tc>
          <w:tcPr>
            <w:tcW w:w="12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621,000</w:t>
            </w:r>
          </w:p>
        </w:tc>
        <w:tc>
          <w:tcPr>
            <w:tcW w:w="12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74,000</w:t>
            </w:r>
          </w:p>
        </w:tc>
        <w:tc>
          <w:tcPr>
            <w:tcW w:w="1260" w:type="dxa"/>
            <w:vAlign w:val="bottom"/>
            <w:tcBorders>
              <w:bottom w:val="single" w:sz="8" w:color="CFF0FC"/>
            </w:tcBorders>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1,491,000</w:t>
            </w:r>
          </w:p>
        </w:tc>
        <w:tc>
          <w:tcPr>
            <w:tcW w:w="12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-170815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 options of 1,069,000 units, 525,000 units and 205,000 units were issued under the Plan during the year ended December 31, 2025, 2024, and 2023, respectively, with weighted-average terms of 3.4 years, 3.1 years, and 3.7 years. The Company used the following average assumptions with respect to the Black-Scholes option pricing model for Mastech Digital stock options issued under the Plan during 2025, 2024, and 2023.</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7"/>
              </w:rPr>
              <w:t>Stock option grants:</w:t>
            </w:r>
          </w:p>
        </w:tc>
        <w:tc>
          <w:tcPr>
            <w:tcW w:w="24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dividend yield</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7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5.01</w:t>
            </w:r>
          </w:p>
        </w:tc>
      </w:tr>
    </w:tbl>
    <w:p>
      <w:pPr>
        <w:spacing w:after="0" w:line="204"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for stock options granted during the period was determined by using a U.S. Treasury rate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coincided with the expected term of the options.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did not contemplate a recurring dividend program. Accordingly, the dividend yield assumption used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was determined based on the historical volatility of Mastech Digital’s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Mastech Digital’s expected term was based on the exercise history of our employees and the vesting term of our stock options.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is a summary of Mastech’s restricted stock activity under the Plan for the three years ended December 31, 2025:</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76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96"/>
        </w:trPr>
        <w:tc>
          <w:tcPr>
            <w:tcW w:w="5300" w:type="dxa"/>
            <w:vAlign w:val="bottom"/>
          </w:tcPr>
          <w:p>
            <w:pPr>
              <w:spacing w:after="0"/>
              <w:rPr>
                <w:sz w:val="17"/>
                <w:szCs w:val="17"/>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outstanding balance</w:t>
            </w:r>
          </w:p>
        </w:tc>
        <w:tc>
          <w:tcPr>
            <w:tcW w:w="1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17,921</w:t>
            </w:r>
          </w:p>
        </w:tc>
        <w:tc>
          <w:tcPr>
            <w:tcW w:w="12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19,924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17,804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22,140</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40,130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19,924</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outstanding balance</w:t>
            </w: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16,605</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17,921</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restricted stock units outstanding under the Plan at December 31, 2025 was $116,000. The total intrinsic value of restricted shares released under the Plan during 2025 totaled $243,000.</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Company Guide Rule 711 and provided for grants of non-qualified stock options, restricted stock awards, stock awards, performance share awards and other stock-based awards (each, an “Inducement Award”). Effective May 14, 2025, the 2024 Inducement Stock Incentive Plan was terminated,</w:t>
      </w: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20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and December 31, 2024, the Company issued 15,114 and 34,860 shares under the Stock Purchase Plan at an average share of $6.06 and $6.40, respectively. At December 31, 2025, there were 416,945 shares available for purchases under the Plan.</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of $3.1 million, $2.2 million and $3.1 million was recognized in the Consolidated Statements of Operations for the years ended December 31, 2025, 2024, and 2023, respectively. The Company has recognized related tax benefits associated with its stock-based compensation arrangements for the years ended December 31, 2025, 2024, and 2023 of $780,000, $528,000 and $721,000, respectively. As of December 31, 2025, the total remaining unrecognized compensation expense related to non-vested stock options totaled $5.6 million which will be amortized over the weighted-average remaining requisite service period of 1.9 years. The total remaining unrecognized compensation expense related to restricted stock units amounted to $18,000 which will be amortized over the weighted-average remaining requisite service period of 0.1 years.</w:t>
      </w:r>
    </w:p>
    <w:p>
      <w:pPr>
        <w:spacing w:after="0" w:line="291"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Consolidated Statement of Operations, consisted of the following for the years ended December 31, 2025,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(Amounts in thousands)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-1250950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-1250950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Consolidated Statement of Operations, consisted of the following for the years ended December 31, 2025, 2024 and 2023:</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(Amounts in thousands)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w:t>
            </w: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09"/>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-1019810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-1019810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-462280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-462280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our statutory U.S. income tax rate and the provision (benefit) for income taxes for the years ended December 31, 2025, 2024 and 2023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0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Shortfalls in expected tax benefits from stock options/RSUs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280" w:type="dxa"/>
            <w:vAlign w:val="bottom"/>
          </w:tcPr>
          <w:p>
            <w:pPr>
              <w:spacing w:after="0"/>
              <w:rPr>
                <w:sz w:val="18"/>
                <w:szCs w:val="18"/>
                <w:color w:val="auto"/>
              </w:rPr>
            </w:pPr>
          </w:p>
        </w:tc>
        <w:tc>
          <w:tcPr>
            <w:tcW w:w="10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compensation disallowed</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 to provision and other discrete items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in tax rate on foreign earnings/other</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17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8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were as follows: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7"/>
          </w:tcPr>
          <w:p>
            <w:pPr>
              <w:jc w:val="center"/>
              <w:ind w:left="193"/>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vacation and bonuses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6"/>
              </w:rPr>
              <w:t>403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w w:val="93"/>
              </w:rPr>
              <w:t>2,316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Acquisition-related transaction costs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6"/>
              </w:rPr>
              <w:t>455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Severance liabilities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448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6"/>
              </w:rPr>
              <w:t>452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157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3"/>
              </w:rPr>
              <w:t>4,331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6"/>
              </w:rPr>
              <w:t>776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Depreciation, intangibles and contingent consideration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w w:val="93"/>
              </w:rPr>
              <w:t>1,805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3"/>
              </w:rPr>
              <w:t>2,581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3"/>
              </w:rPr>
              <w:t>1,298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-2887980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-2870835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-2887980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-2870835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-2887980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-2870835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-2887980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-2870835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-2887980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-2870835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-873760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years ending on December 31, 2025, the Company had no unrecognized tax benefits related to uncertain tax positions.</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December 31, 2025 and 2024, our valuation allowance was comprised of net operating loses in Ireland and the United Kingdom totaled approximately $435,000 and $452,0000, respectively. Our valuation allowances reflects net operating losses which may not be realized in the future.</w:t>
      </w:r>
    </w:p>
    <w:p>
      <w:pPr>
        <w:spacing w:after="0" w:line="291"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could occur from time to time in the open market, through privately negotiated transactions, through block purchases or other purchase techniques, or by any combination of such methods. On February 19, 2025, the Company announced that the Board of Directors had authorized an extension of its previously announced share repurchase program for an additional year through February 8, 2026. During the year ending on December 31, 2025, the Company repurchased 299,523 shares of common stock at an average price of $7.49 per share under this program. Common shares available for share repurchase under this program totaled 124,000 on December 31, 2025. On February 8, 2026, this share repurchase program expired by its terms.</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years ended December 31, 2025 and 2024.</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December 31, 2025 and 2024, the company held 2.0 million and 1.7 million shares in its treasury at a cost of approximately $7.1 million and $4.9 million, respectively.</w:t>
      </w:r>
    </w:p>
    <w:p>
      <w:pPr>
        <w:spacing w:after="0" w:line="266"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(loss) per share (“EPS”) is based on the Company’s net income (loss) divided by the weighted average number of common shares outstanding. Diluted earnings (loss)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there were 1,686,000 and 1,040,000 anti-dilutive stock options excluded from the computation of diluted earnings per share. For the year ended December 31, 2023, all stock options and restricted shares were anti-dilutive and excluded from the computation of diluted (loss) per share.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denominators of the basic and diluted EPS computations: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ind w:right="4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gridSpan w:val="2"/>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11,747</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11,669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options and restricted share units</w:t>
            </w:r>
          </w:p>
        </w:tc>
        <w:tc>
          <w:tcPr>
            <w:tcW w:w="1300" w:type="dxa"/>
            <w:vAlign w:val="bottom"/>
            <w:tcBorders>
              <w:bottom w:val="single" w:sz="8" w:color="CFF0FC"/>
            </w:tcBorders>
            <w:gridSpan w:val="2"/>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58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11,950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-1122045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-1122045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EPS utilizing net income and the Company’s weighted-average common stock outstanding:</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609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3,402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11,747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11,669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EPS utilizing net income and the Company’s weighted-average common stock outstanding plus the weighted-average of stock options, restricted shares and performance shares, which had a diluted effect on EPS: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609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3,402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11,950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12,014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accumulated other comprehensive income (loss) for the years ended December 31, 2025, 2024 and 2023 were as follows:</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 (loss).</w:t>
      </w:r>
    </w:p>
    <w:p>
      <w:pPr>
        <w:spacing w:after="0" w:line="293"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74"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observable quoted prices (unadjusted)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left="900" w:right="14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that are supported by little or no market activity.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net accounts receivable, accounts payable and accrued expenses approximates fair value because of their short-term nature. The Company's outstanding debt was repaid on January 3, 2023 and therefore, its carrying value also approximates fair value.</w:t>
      </w:r>
    </w:p>
    <w:p>
      <w:pPr>
        <w:spacing w:after="0" w:line="16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goodwill was calculated using a discounted cash flow model utilizing unobservable inputs, which requires management to develop its own assumptions in pricing the asset. At December 31, 2023, the Company carried the following financial assets (liabilities) at fair value measured on a non-recurring basis (in thousands):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20" w:type="dxa"/>
            <w:vAlign w:val="bottom"/>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27,210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goodwill impairment related to its Data and Analytics Services segment of $5.3 million.</w:t>
      </w:r>
    </w:p>
    <w:p>
      <w:pPr>
        <w:spacing w:after="0" w:line="266"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expands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Beginning in the 2026 fiscal year, the Company plans to revise its segment structure to align with changes in how the Chief Operating Decision Maker (“CODM”) will be evaluating operating performance and allocating resources. These changes are driven by the Company’s operating strategy, which aligns the organization around account-centric management, industry-focused leadership, and an integrated approach to Talent and Services offerings.</w:t>
      </w:r>
    </w:p>
    <w:p>
      <w:pPr>
        <w:spacing w:after="0" w:line="11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revised structure, the Company intends to transition from its current reportable segments of Data and Analytics and IT Staffing Services to the newly formed Talent and Services segments. The revised segment structure is expected to be effective for external reporting beginning in the 2026 fiscal year pending finalization of the Company’s analysis under ASC 280. Any changes to the Company’s segment reporting in future periods will include recasting prior period segment information in accordance with ASC 280.</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operating results of our reporting segments: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(Amounts 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33,275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36,625</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34,358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158,096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162,318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166,740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191,371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198,943</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201,098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17,913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18,660</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19,411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120,149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124,686</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130,651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138,062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143,346</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150,062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17,965</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14,947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37,947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37,632</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36,089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53,309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55,597</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51,036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20" w:type="dxa"/>
            <w:vAlign w:val="bottom"/>
          </w:tcPr>
          <w:p>
            <w:pPr>
              <w:ind w:left="180"/>
              <w:spacing w:after="0" w:line="210" w:lineRule="exact"/>
              <w:rPr>
                <w:sz w:val="20"/>
                <w:szCs w:val="20"/>
                <w:color w:val="auto"/>
              </w:rPr>
            </w:pPr>
            <w:r>
              <w:rPr>
                <w:rFonts w:ascii="Times New Roman" w:cs="Times New Roman" w:eastAsia="Times New Roman" w:hAnsi="Times New Roman"/>
                <w:sz w:val="18"/>
                <w:szCs w:val="18"/>
                <w:color w:val="auto"/>
              </w:rPr>
              <w:t xml:space="preserve">Total gross margin % </w:t>
            </w:r>
            <w:r>
              <w:rPr>
                <w:rFonts w:ascii="Times New Roman" w:cs="Times New Roman" w:eastAsia="Times New Roman" w:hAnsi="Times New Roman"/>
                <w:sz w:val="24"/>
                <w:szCs w:val="24"/>
                <w:color w:val="auto"/>
                <w:vertAlign w:val="superscript"/>
              </w:rPr>
              <w:t>(1)</w:t>
            </w: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Sales &amp; Marketing Expenses: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6,804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7,333</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9,100</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8,335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sales &amp; marketing expenses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16,433</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14,846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Operations Expenses: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1,297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6,974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8,742</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8,596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7,564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9,427</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9,893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General &amp; Administrative Expenses: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15,750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14,467</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13,104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23,939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21,170</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22,050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7,794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6,054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8,567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4,247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Severance expense</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FX gains/losses and other, net</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4,424</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-6282690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-6282690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-5699760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-5699760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-5116830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-5116830</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-4533900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-4533900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-3950970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-3950970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-3368040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-3368040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-2785110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-2785110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-2202180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-2202180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-1096645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-1096645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517"/>
        <w:spacing w:after="0" w:line="284" w:lineRule="auto"/>
        <w:tabs>
          <w:tab w:leader="none" w:pos="764"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margin differences between the supplemental segment and consolidated results primarily reflect non-allocated severance expense of $0.3 million recorded in cost of goods sold during the third quarter of 2025.</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reconciliation of total assets, depreciation and amortization and capital expenditures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Data and Analytics Services</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40,848</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44,053</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45,681</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2,439</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2,572</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2,704</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249</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IT Staffing Services</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70,992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67,431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59,546</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111,840</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111,484</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105,227</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3,324</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3,499</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3,855</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941</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-25400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 and fixed assets, net (equipment, enterprise software and leasehold improvements):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8"/>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Equipment, Enterprise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8"/>
          </w:tcPr>
          <w:p>
            <w:pPr>
              <w:jc w:val="center"/>
              <w:ind w:left="418"/>
              <w:spacing w:after="0" w:line="149" w:lineRule="exact"/>
              <w:rPr>
                <w:sz w:val="20"/>
                <w:szCs w:val="20"/>
                <w:color w:val="auto"/>
              </w:rPr>
            </w:pPr>
            <w:r>
              <w:rPr>
                <w:rFonts w:ascii="Times New Roman" w:cs="Times New Roman" w:eastAsia="Times New Roman" w:hAnsi="Times New Roman"/>
                <w:sz w:val="14"/>
                <w:szCs w:val="14"/>
                <w:b w:val="1"/>
                <w:bCs w:val="1"/>
                <w:color w:val="auto"/>
              </w:rPr>
              <w:t>Software and Leasehold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 net</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189,286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195,455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197,246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851</w:t>
            </w:r>
          </w:p>
        </w:tc>
        <w:tc>
          <w:tcPr>
            <w:tcW w:w="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191,371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198,943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201,098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1,998</w:t>
            </w:r>
          </w:p>
        </w:tc>
        <w:tc>
          <w:tcPr>
            <w:tcW w:w="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Authorization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16, 2026, the Company’s Board of Directors authorized a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Employee Stock Purchase Plan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16, 2026, the Company’s Board of Directors approved the termination of the Company’s Employee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certifications required by Section 302 of the Sarbanes-Oxley Act of 2002 are filed as exhibits 31.1 and 31.2, respectively, to this Annual Report on Form 10-K.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2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making its assessment of internal control over financial reporting, management used the criteria described in the Internal Control-Integrated Framework (2013) issued by the Committee of Sponsoring Organizations of the Treadway Commission (“COSO-2013”).</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management, including the Company’s Chief Executive Officer and Chief Financial Officer, assessed the control effectiveness as of December 31, 2025. Based upon this assessment, management has concluded that the Company’s internal control over financial reporting was effective as of December 31, 2025.</w:t>
      </w:r>
    </w:p>
    <w:p>
      <w:pPr>
        <w:spacing w:after="0" w:line="10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10b5-1 plans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officers informed us of the adoption, modification or termination of a “Rule 10b5-1 trading arrangement” or “non-Rule 10b5-1 trading arrangement,” as those terms are defined in Regulation S-K, Item 408.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 of the Company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June 9, 2025, the Company entered into a Rule 10b5-1 and Rule 10b-18 Repurchase Plan (the “10b5-1 Plan”) under our prior share repurchase program and, on September 15, 2025, the Company elected to terminate this 10b5-1 Plan in accordance with its terms. The 10b5-1 Plan was intended to satisfy the affirmative defense conditions of Exchange Act Rule 10b5-1(c) and authorized the purchase of up to 406,568 shares of our Common Stock. During the year ended September 30, 2025, we purchased 53,612 shares of our Common Stock under the 10b5-1 Plan for an average price of $7.80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not set forth below, is incorporated herein by reference from the Company’s definitive proxy statement relating to the Annual Meeting of Shareholders scheduled for May 13, 2026, which will be filed with the Commission within 120 days after the close of the Company’s fiscal year ended December 31, 2025 (the “Proxy Statement”) under the headings “Proposal No. 1 — Election of Directors”, “Executive Officers”, “Delinquent Section 16(A) Reports” and “Board Committees and Meetings”.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the listing standards applicable to the Company (the “Insider Trading Policy”). The Company’s Insider Trading Policy is filed as Exhibit 19.1 to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2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“Equity Compensation Plan Information”.</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Security Ownership of Certain Beneficial Owners and Management</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“Security Ownership of Certain Beneficial Owners and Management”.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“Board Committees and Meetings” and “Policies and Procedures for Approving Related Person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“Independent Registered Public Accountants”.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119" w:lineRule="exact"/>
        <w:rPr>
          <w:sz w:val="20"/>
          <w:szCs w:val="20"/>
          <w:color w:val="auto"/>
        </w:rPr>
      </w:pPr>
    </w:p>
    <w:p>
      <w:pPr>
        <w:ind w:left="700" w:hanging="18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its subsidiaries are included on pages 41 to 66 and the reports of Independent Registered Public Accounting Firm are included on pages 39 and 40 in this Annual Report on Form 10-K.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27508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5082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28460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41884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8846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(Loss) —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51244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2445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46545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42805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805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-7620</wp:posOffset>
            </wp:positionV>
            <wp:extent cx="20275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379" w:lineRule="exact"/>
        <w:rPr>
          <w:sz w:val="20"/>
          <w:szCs w:val="20"/>
          <w:color w:val="auto"/>
        </w:rPr>
      </w:pPr>
    </w:p>
    <w:p>
      <w:pPr>
        <w:ind w:left="700" w:hanging="183"/>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 Schedules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Statement schedules shown below should be read in conjunction with the Consolidated Financial Statements on pages 41 to 66 in this Annual Report on Form 10-K. All other schedules are omitted because they are not applicable or not required or the required information is shown in the Consolidated Financial Statements or notes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items appear immediately on the following page:</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2025, 2024 and 2023.</w:t>
      </w:r>
    </w:p>
    <w:p>
      <w:pPr>
        <w:spacing w:after="0" w:line="331" w:lineRule="exact"/>
        <w:rPr>
          <w:sz w:val="20"/>
          <w:szCs w:val="20"/>
          <w:color w:val="auto"/>
        </w:rPr>
      </w:pPr>
    </w:p>
    <w:p>
      <w:pPr>
        <w:ind w:left="700" w:hanging="183"/>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Exhibits required by Item 601 of Regulation S-K are listed in the Exhibit Index, which is incorporated herein by reference.</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to expense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5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528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31"/>
          </w:tcPr>
          <w:p>
            <w:pPr>
              <w:ind w:left="100"/>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90"/>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24"/>
                <w:szCs w:val="24"/>
                <w:color w:val="auto"/>
              </w:rPr>
            </w:pPr>
          </w:p>
        </w:tc>
        <w:tc>
          <w:tcPr>
            <w:tcW w:w="9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Asset Purchase Agreement, dated July 7, 2017, by and among Mahmood Abbas, Zahid Naeem, Sachin Wadhwa, InfoTrellis Inc. and</w:t>
              </w:r>
            </w:hyperlink>
          </w:p>
        </w:tc>
        <w:tc>
          <w:tcPr>
            <w:tcW w:w="50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Mastech InfoTrellis Digital, Ltd., incorporated by reference to Exhibit 2.1 to Mastech Digital, Inc.’s Current Report on Form 8-K, filed</w:t>
              </w:r>
            </w:hyperlink>
          </w:p>
        </w:tc>
        <w:tc>
          <w:tcPr>
            <w:tcW w:w="32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with the SEC on July 13, 2017</w:t>
              </w:r>
            </w:hyperlink>
          </w:p>
        </w:tc>
        <w:tc>
          <w:tcPr>
            <w:tcW w:w="7840" w:type="dxa"/>
            <w:vAlign w:val="bottom"/>
            <w:gridSpan w:val="33"/>
          </w:tcPr>
          <w:p>
            <w:pPr>
              <w:spacing w:after="0"/>
              <w:rPr>
                <w:sz w:val="17"/>
                <w:szCs w:val="17"/>
                <w:color w:val="auto"/>
              </w:rPr>
            </w:pPr>
          </w:p>
        </w:tc>
      </w:tr>
      <w:tr>
        <w:trPr>
          <w:trHeight w:val="317"/>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2.2</w:t>
            </w:r>
          </w:p>
        </w:tc>
        <w:tc>
          <w:tcPr>
            <w:tcW w:w="220" w:type="dxa"/>
            <w:vAlign w:val="bottom"/>
          </w:tcPr>
          <w:p>
            <w:pPr>
              <w:spacing w:after="0"/>
              <w:rPr>
                <w:sz w:val="24"/>
                <w:szCs w:val="24"/>
                <w:color w:val="auto"/>
              </w:rPr>
            </w:pPr>
          </w:p>
        </w:tc>
        <w:tc>
          <w:tcPr>
            <w:tcW w:w="9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Asset Purchase Agreement, dated July 7, 2017, by and among Mahmood Abbas, Zahid Naeem, Sachin Wadhwa, InfoTrellis Inc. and</w:t>
              </w:r>
            </w:hyperlink>
          </w:p>
        </w:tc>
        <w:tc>
          <w:tcPr>
            <w:tcW w:w="50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Mastech InfoTrellis, Inc., incorporated by reference to Exhibit 2.2 to Mastech Digital, Inc.’s Current Report on Form 8-K, filed with the</w:t>
              </w:r>
            </w:hyperlink>
          </w:p>
        </w:tc>
        <w:tc>
          <w:tcPr>
            <w:tcW w:w="26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SEC on July 13, 2017</w:t>
              </w:r>
            </w:hyperlink>
          </w:p>
        </w:tc>
        <w:tc>
          <w:tcPr>
            <w:tcW w:w="8480" w:type="dxa"/>
            <w:vAlign w:val="bottom"/>
            <w:gridSpan w:val="34"/>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2.3</w:t>
            </w:r>
          </w:p>
        </w:tc>
        <w:tc>
          <w:tcPr>
            <w:tcW w:w="220" w:type="dxa"/>
            <w:vAlign w:val="bottom"/>
          </w:tcPr>
          <w:p>
            <w:pPr>
              <w:spacing w:after="0"/>
              <w:rPr>
                <w:sz w:val="24"/>
                <w:szCs w:val="24"/>
                <w:color w:val="auto"/>
              </w:rPr>
            </w:pPr>
          </w:p>
        </w:tc>
        <w:tc>
          <w:tcPr>
            <w:tcW w:w="100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Share Purchase Agreement, dated July 7, 2017, by and amongst Mastech Digital Data, Inc., 2291496 Ontario Inc., InfoTrellis India Private</w:t>
              </w:r>
            </w:hyperlink>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Limited, Mastech Digital Private Limited and Kumaran Sasikanthan, incorporated by reference to Exhibit 2.3 to Mastech Digital, Inc.’s</w:t>
              </w:r>
            </w:hyperlink>
          </w:p>
        </w:tc>
        <w:tc>
          <w:tcPr>
            <w:tcW w:w="2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Current Report on Form 8-K, filed with the SEC on July 13, 2017</w:t>
              </w:r>
            </w:hyperlink>
          </w:p>
        </w:tc>
        <w:tc>
          <w:tcPr>
            <w:tcW w:w="5320" w:type="dxa"/>
            <w:vAlign w:val="bottom"/>
            <w:gridSpan w:val="27"/>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2.4</w:t>
            </w:r>
          </w:p>
        </w:tc>
        <w:tc>
          <w:tcPr>
            <w:tcW w:w="220" w:type="dxa"/>
            <w:vAlign w:val="bottom"/>
          </w:tcPr>
          <w:p>
            <w:pPr>
              <w:spacing w:after="0"/>
              <w:rPr>
                <w:sz w:val="24"/>
                <w:szCs w:val="24"/>
                <w:color w:val="auto"/>
              </w:rPr>
            </w:pPr>
          </w:p>
        </w:tc>
        <w:tc>
          <w:tcPr>
            <w:tcW w:w="92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Share Purchase Agreement, dated October 1, 2020, by and among Mastech Digital Data, Inc., AmberLeaf Partners, Inc., and its</w:t>
              </w:r>
            </w:hyperlink>
          </w:p>
        </w:tc>
        <w:tc>
          <w:tcPr>
            <w:tcW w:w="880" w:type="dxa"/>
            <w:vAlign w:val="bottom"/>
            <w:gridSpan w:val="1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shareholders, Lawrence F. Goldman and Don Steffen, incorporated by reference to Exhibit 10.1 to Mastech Digital, Inc.’s Current Report</w:t>
              </w:r>
            </w:hyperlink>
          </w:p>
        </w:tc>
        <w:tc>
          <w:tcPr>
            <w:tcW w:w="1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on Form 8-K, filed with the SEC on October 6, 2020</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9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Amended and Restated Articles of Incorporation of Mastech Digital, Inc., incorporated by reference to Exhibit 3.1 to Mastech Digital,</w:t>
              </w:r>
            </w:hyperlink>
          </w:p>
        </w:tc>
        <w:tc>
          <w:tcPr>
            <w:tcW w:w="40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Inc.’s Current Report on Form 8-K filed with the SEC on September 12, 2016</w:t>
              </w:r>
            </w:hyperlink>
          </w:p>
        </w:tc>
        <w:tc>
          <w:tcPr>
            <w:tcW w:w="4440" w:type="dxa"/>
            <w:vAlign w:val="bottom"/>
            <w:gridSpan w:val="25"/>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100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Amended and Restated Bylaws of Mastech Digital, Inc., incorporated by reference to Exhibit 3.2 to Mastech Digital, Inc.’s Current Report</w:t>
              </w:r>
            </w:hyperlink>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on Form 8-K filed with the SEC on September 12, 2016</w:t>
              </w:r>
            </w:hyperlink>
          </w:p>
        </w:tc>
        <w:tc>
          <w:tcPr>
            <w:tcW w:w="6020" w:type="dxa"/>
            <w:vAlign w:val="bottom"/>
            <w:gridSpan w:val="31"/>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4"/>
                <w:szCs w:val="24"/>
                <w:color w:val="auto"/>
              </w:rPr>
            </w:pPr>
          </w:p>
        </w:tc>
        <w:tc>
          <w:tcPr>
            <w:tcW w:w="9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Common Stock Certificate of Mastech Digital, Inc., incorporated by reference to Exhibit 4.1 to Mastech Digital, Inc.’s Annual</w:t>
              </w:r>
            </w:hyperlink>
          </w:p>
        </w:tc>
        <w:tc>
          <w:tcPr>
            <w:tcW w:w="32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Report on Form 10-K filed with the SEC on March 24, 2017</w:t>
              </w:r>
            </w:hyperlink>
          </w:p>
        </w:tc>
        <w:tc>
          <w:tcPr>
            <w:tcW w:w="5700" w:type="dxa"/>
            <w:vAlign w:val="bottom"/>
            <w:gridSpan w:val="30"/>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24"/>
                <w:szCs w:val="24"/>
                <w:color w:val="auto"/>
              </w:rPr>
            </w:pPr>
          </w:p>
        </w:tc>
        <w:tc>
          <w:tcPr>
            <w:tcW w:w="100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Amended and Restated Registration Rights Agreement, dated September 17, 2020, by and among Mastech Digital, Inc., Ashok Trivedi, in</w:t>
              </w:r>
            </w:hyperlink>
          </w:p>
        </w:tc>
        <w:tc>
          <w:tcPr>
            <w:tcW w:w="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his individual capacity and as trustee of the Ashok K. Trivedi Revocable Trust, STP L.P., Edani L.P., Riveda L.P., Sunil Wadhwani, in his</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individual capacity and as trustee of The Revocable Declaration of Trust of Sunil Wadhwani, Wadhwani Partners No. 1 L.P. and Wadhwani</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Partners No. 2 L.P., incorporated by reference to Exhibit 10.1 to Mastech Digital, Inc.’s Current Report on Form 8-K filed with the SEC on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September 22, 2020</w:t>
              </w:r>
            </w:hyperlink>
          </w:p>
        </w:tc>
        <w:tc>
          <w:tcPr>
            <w:tcW w:w="8600" w:type="dxa"/>
            <w:vAlign w:val="bottom"/>
            <w:gridSpan w:val="35"/>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Description of Securities Registered under Section 12 of the Securities Exchange Act of 1934, incorporated by reference to Exhibit 4.3 to</w:t>
              </w:r>
            </w:hyperlink>
          </w:p>
        </w:tc>
        <w:tc>
          <w:tcPr>
            <w:tcW w:w="1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Mastech Digital, Inc.’s Annual Report on Form 10-K filed with the SEC on March 30, 2020</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Mastech Digital, Inc.’s Stock Incentive Plan (as amended and restated), effective as of May 14, 2024, incorporated by reference to Exhibit</w:t>
              </w:r>
            </w:hyperlink>
          </w:p>
        </w:tc>
        <w:tc>
          <w:tcPr>
            <w:tcW w:w="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Mastech Digital, Inc.’s Current Report on Form 8-K filed with the SEC on May 16, 2024</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First Amendment to Mastech Digital, Inc. Stock Incentive Plan, as Amended and Restated, executed May 14, 2025, incorporated by</w:t>
              </w:r>
            </w:hyperlink>
          </w:p>
        </w:tc>
        <w:tc>
          <w:tcPr>
            <w:tcW w:w="540" w:type="dxa"/>
            <w:vAlign w:val="bottom"/>
            <w:gridSpan w:val="1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reference to Exhibit 10.1 to Mastech Digital, Inc.’s Current Report on Form 8-K filed with the SEC on May 19, 2025</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20"/>
          </w:tcPr>
          <w:p>
            <w:pPr>
              <w:spacing w:after="0"/>
              <w:rPr>
                <w:sz w:val="17"/>
                <w:szCs w:val="17"/>
                <w:color w:val="auto"/>
              </w:rPr>
            </w:pPr>
          </w:p>
        </w:tc>
      </w:tr>
      <w:tr>
        <w:trPr>
          <w:trHeight w:val="412"/>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Mastech Digital, Inc. 2024 Inducement Stock Incentive Plan, incorporated by reference to Exhibit 10.2 to Mastech Digital, Inc.’s Current</w:t>
              </w:r>
            </w:hyperlink>
          </w:p>
        </w:tc>
        <w:tc>
          <w:tcPr>
            <w:tcW w:w="1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Report on Form 8-K filed with the SEC on December 16, 2024</w:t>
              </w:r>
            </w:hyperlink>
          </w:p>
        </w:tc>
        <w:tc>
          <w:tcPr>
            <w:tcW w:w="20" w:type="dxa"/>
            <w:vAlign w:val="bottom"/>
            <w:tcBorders>
              <w:bottom w:val="single" w:sz="8" w:color="0000EE"/>
            </w:tcBorders>
          </w:tcPr>
          <w:p>
            <w:pPr>
              <w:spacing w:after="0"/>
              <w:rPr>
                <w:sz w:val="17"/>
                <w:szCs w:val="17"/>
                <w:color w:val="auto"/>
              </w:rPr>
            </w:pPr>
          </w:p>
        </w:tc>
        <w:tc>
          <w:tcPr>
            <w:tcW w:w="5540" w:type="dxa"/>
            <w:vAlign w:val="bottom"/>
            <w:gridSpan w:val="28"/>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5"/>
              </w:rPr>
              <w:t>10.4</w:t>
            </w:r>
          </w:p>
        </w:tc>
        <w:tc>
          <w:tcPr>
            <w:tcW w:w="220" w:type="dxa"/>
            <w:vAlign w:val="bottom"/>
          </w:tcPr>
          <w:p>
            <w:pPr>
              <w:spacing w:after="0"/>
              <w:rPr>
                <w:sz w:val="24"/>
                <w:szCs w:val="24"/>
                <w:color w:val="auto"/>
              </w:rPr>
            </w:pPr>
          </w:p>
        </w:tc>
        <w:tc>
          <w:tcPr>
            <w:tcW w:w="9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Credit Agreement, dated July 13, 2017, by and among Mastech Digital, Inc., certain subsidiaries of Mastech Digital, Inc., PNC Bank,</w:t>
              </w:r>
            </w:hyperlink>
          </w:p>
        </w:tc>
        <w:tc>
          <w:tcPr>
            <w:tcW w:w="440" w:type="dxa"/>
            <w:vAlign w:val="bottom"/>
            <w:gridSpan w:val="1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National Association, as administrative agent, swing loan lender and issuing lender, PNC Capital Markets LLC, as sole lead arranger and</w:t>
              </w:r>
            </w:hyperlink>
          </w:p>
        </w:tc>
        <w:tc>
          <w:tcPr>
            <w:tcW w:w="18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sole bookrunner, and certain financial institutions party thereto as lenders, incorporated by reference to Exhibit 10.1 to Mastech Digital,</w:t>
              </w:r>
            </w:hyperlink>
          </w:p>
        </w:tc>
        <w:tc>
          <w:tcPr>
            <w:tcW w:w="2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Inc.’s Current Report on Form 8-K, filed with the SEC on July 19, 2017</w:t>
              </w:r>
            </w:hyperlink>
          </w:p>
        </w:tc>
        <w:tc>
          <w:tcPr>
            <w:tcW w:w="4860" w:type="dxa"/>
            <w:vAlign w:val="bottom"/>
            <w:gridSpan w:val="26"/>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tcPr>
          <w:p>
            <w:pPr>
              <w:spacing w:after="0"/>
              <w:rPr>
                <w:sz w:val="24"/>
                <w:szCs w:val="24"/>
                <w:color w:val="auto"/>
              </w:rPr>
            </w:pPr>
          </w:p>
        </w:tc>
        <w:tc>
          <w:tcPr>
            <w:tcW w:w="99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First Amendment to Credit Agreement, dated November 2017, by and among Mastech Digital, Inc., PNC Bank, National Association, as</w:t>
              </w:r>
            </w:hyperlink>
          </w:p>
        </w:tc>
        <w:tc>
          <w:tcPr>
            <w:tcW w:w="20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administrative agent and a lender, and certain financial institutions party thereto as lenders, incorporated by reference to Exhibit 10.3 to</w:t>
              </w:r>
            </w:hyperlink>
          </w:p>
        </w:tc>
        <w:tc>
          <w:tcPr>
            <w:tcW w:w="3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Mastech Digital, Inc.’s Quarterly Report on Form 10-Q, filed with the SEC on May 11, 2018</w:t>
              </w:r>
            </w:hyperlink>
          </w:p>
        </w:tc>
        <w:tc>
          <w:tcPr>
            <w:tcW w:w="3360" w:type="dxa"/>
            <w:vAlign w:val="bottom"/>
            <w:gridSpan w:val="23"/>
          </w:tcPr>
          <w:p>
            <w:pPr>
              <w:spacing w:after="0"/>
              <w:rPr>
                <w:sz w:val="17"/>
                <w:szCs w:val="17"/>
                <w:color w:val="auto"/>
              </w:rPr>
            </w:pPr>
          </w:p>
        </w:tc>
      </w:tr>
      <w:tr>
        <w:trPr>
          <w:trHeight w:val="318"/>
        </w:trPr>
        <w:tc>
          <w:tcPr>
            <w:tcW w:w="92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5"/>
              </w:rPr>
              <w:t>10.6</w:t>
            </w:r>
          </w:p>
        </w:tc>
        <w:tc>
          <w:tcPr>
            <w:tcW w:w="220" w:type="dxa"/>
            <w:vAlign w:val="bottom"/>
          </w:tcPr>
          <w:p>
            <w:pPr>
              <w:spacing w:after="0"/>
              <w:rPr>
                <w:sz w:val="24"/>
                <w:szCs w:val="24"/>
                <w:color w:val="auto"/>
              </w:rPr>
            </w:pPr>
          </w:p>
        </w:tc>
        <w:tc>
          <w:tcPr>
            <w:tcW w:w="100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Second Amendment to Credit Agreement, dated April 20, 2018, by and among Mastech Digital, Inc., PNC Bank, National Association, as</w:t>
              </w:r>
            </w:hyperlink>
          </w:p>
        </w:tc>
        <w:tc>
          <w:tcPr>
            <w:tcW w:w="1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administrative agent and a lender, and certain financial institutions party thereto as lenders, incorporated by reference to Exhibit 10.1 to</w:t>
              </w:r>
            </w:hyperlink>
          </w:p>
        </w:tc>
        <w:tc>
          <w:tcPr>
            <w:tcW w:w="3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Mastech Digital, Inc.’s Current Report on Form 8-K, filed with the SEC on April 25, 2018</w:t>
              </w:r>
            </w:hyperlink>
          </w:p>
        </w:tc>
        <w:tc>
          <w:tcPr>
            <w:tcW w:w="3480" w:type="dxa"/>
            <w:vAlign w:val="bottom"/>
            <w:gridSpan w:val="24"/>
          </w:tcPr>
          <w:p>
            <w:pPr>
              <w:spacing w:after="0"/>
              <w:rPr>
                <w:sz w:val="17"/>
                <w:szCs w:val="17"/>
                <w:color w:val="auto"/>
              </w:rPr>
            </w:pPr>
          </w:p>
        </w:tc>
      </w:tr>
      <w:tr>
        <w:trPr>
          <w:trHeight w:val="601"/>
        </w:trPr>
        <w:tc>
          <w:tcPr>
            <w:tcW w:w="920" w:type="dxa"/>
            <w:vAlign w:val="bottom"/>
          </w:tcPr>
          <w:p>
            <w:pPr>
              <w:spacing w:after="0"/>
              <w:rPr>
                <w:sz w:val="24"/>
                <w:szCs w:val="24"/>
                <w:color w:val="auto"/>
              </w:rPr>
            </w:pPr>
          </w:p>
        </w:tc>
        <w:tc>
          <w:tcPr>
            <w:tcW w:w="5000" w:type="dxa"/>
            <w:vAlign w:val="bottom"/>
            <w:gridSpan w:val="10"/>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25"/>
          </w:tcPr>
          <w:p>
            <w:pPr>
              <w:ind w:left="720"/>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91"/>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00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Third Amendment to Credit Agreement and Joinder Agreement, dated as of October 1, 2020, by and among Mastech Digital, Inc., Mastech</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Digital Alliances, Inc., Mastech Digital Resourcing, Inc., Mastech Digital Data, Inc., Mastech InfoTrellis, Inc., Mastech InfoTrellis Digital,</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Ltd., Mastech Digital Services, Inc., Mastech Digital Solutions, Inc., Mastech Digital Consulting, Inc., Mastech Digital InfoTech, Inc., and</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AmberLeaf Partners, Inc., PNC Bank, National Association, and certain other financial institutions party thereto as lenders, and PNC Bank,</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National Association, in its capacity as administrative agent for the lenders thereto, incorporated by reference to Exhibit 10.2 to Mastech</w:t>
              </w:r>
            </w:hyperlink>
          </w:p>
        </w:tc>
        <w:tc>
          <w:tcPr>
            <w:tcW w:w="20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Digital, Inc.’s Current Report on Amendment No. 1 to Form 8-K, filed with the SEC on October 7, 2020</w:t>
              </w:r>
            </w:hyperlink>
          </w:p>
        </w:tc>
        <w:tc>
          <w:tcPr>
            <w:tcW w:w="2520" w:type="dxa"/>
            <w:vAlign w:val="bottom"/>
            <w:gridSpan w:val="20"/>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Fourth Amendment to Credit Agreement, dated December 29, 2021, by and among Mastech Digital, Inc., PNC Bank, National Association,</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as administrative agent and a lender, and certain financial institutions party thereto as lenders, incorporated by reference to Exhibit 10.11 to</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Mastech Digital, Inc.’s Annual Report on Form 10-K, filed with the SEC on March 15, 2024</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22"/>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Fifth Amendment to Credit Agreement, dated December 29, 2023, by and among Mastech Digital, Inc., PNC Bank, National Association,</w:t>
              </w:r>
            </w:hyperlink>
          </w:p>
        </w:tc>
        <w:tc>
          <w:tcPr>
            <w:tcW w:w="12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as administrative agent and a lender, and certain financial institutions party thereto as lenders, incorporated by reference to Exhibit 10.12 to</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Mastech Digital, Inc.’s Annual Report on Form 10-K, filed with the SEC on March 15, 2024</w:t>
              </w:r>
            </w:hyperlink>
          </w:p>
        </w:tc>
        <w:tc>
          <w:tcPr>
            <w:tcW w:w="3380" w:type="dxa"/>
            <w:vAlign w:val="bottom"/>
            <w:gridSpan w:val="21"/>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4"/>
                <w:szCs w:val="24"/>
                <w:color w:val="auto"/>
              </w:rPr>
            </w:pPr>
          </w:p>
        </w:tc>
        <w:tc>
          <w:tcPr>
            <w:tcW w:w="98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Pledge Agreement, dated July 13, 2017, made by Mastech Digital, Inc. and certain subsidiaries of Mastech Digital, Inc., incorporated by</w:t>
              </w:r>
            </w:hyperlink>
          </w:p>
        </w:tc>
        <w:tc>
          <w:tcPr>
            <w:tcW w:w="22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reference to Exhibit 10.2 to Mastech Digital, Inc.’s Current Report on Form 8-K, filed with the SEC on July 19, 2017</w:t>
              </w:r>
            </w:hyperlink>
          </w:p>
        </w:tc>
        <w:tc>
          <w:tcPr>
            <w:tcW w:w="20" w:type="dxa"/>
            <w:vAlign w:val="bottom"/>
            <w:tcBorders>
              <w:bottom w:val="single" w:sz="8" w:color="0000EE"/>
            </w:tcBorders>
          </w:tcPr>
          <w:p>
            <w:pPr>
              <w:spacing w:after="0"/>
              <w:rPr>
                <w:sz w:val="17"/>
                <w:szCs w:val="17"/>
                <w:color w:val="auto"/>
              </w:rPr>
            </w:pPr>
          </w:p>
        </w:tc>
        <w:tc>
          <w:tcPr>
            <w:tcW w:w="1620" w:type="dxa"/>
            <w:vAlign w:val="bottom"/>
            <w:gridSpan w:val="18"/>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98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Securities Purchase Agreement, dated July 7, 2017, by and between Mastech Digital, Inc. and Ashok Trivedi, as trustee of the Ashok K.</w:t>
              </w:r>
            </w:hyperlink>
          </w:p>
        </w:tc>
        <w:tc>
          <w:tcPr>
            <w:tcW w:w="24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Trivedi Revocable Trust, incorporated by reference to Exhibit 10.1 to Mastech Digital, Inc.’s Current Report on Form 8-K, filed with the</w:t>
              </w:r>
            </w:hyperlink>
          </w:p>
        </w:tc>
        <w:tc>
          <w:tcPr>
            <w:tcW w:w="18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SEC on July 13, 2017</w:t>
              </w:r>
            </w:hyperlink>
          </w:p>
        </w:tc>
        <w:tc>
          <w:tcPr>
            <w:tcW w:w="8480" w:type="dxa"/>
            <w:vAlign w:val="bottom"/>
            <w:gridSpan w:val="34"/>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Securities Purchase Agreement, dated July 7, 2017, by and between Mastech Digital, Inc. and Sunil Wadhwani, as trustee of The Revocable</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Declaration of Trust of Sunil Wadhwani, incorporated by reference to Exhibit 10.2 to Mastech Digital, Inc.’s Current Report on Form 8-K,</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filed with the SEC on July 13, 2017</w:t>
              </w:r>
            </w:hyperlink>
          </w:p>
        </w:tc>
        <w:tc>
          <w:tcPr>
            <w:tcW w:w="7480" w:type="dxa"/>
            <w:vAlign w:val="bottom"/>
            <w:gridSpan w:val="32"/>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Executive Employment Agreement, made as of November 1, 2024, by and among Mastech Digital, Inc., Mastech Digital Technologies, Inc.</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and Nirav Patel, incorporated by reference to Exhibit 10.1 to Mastech Digital, Inc.’s Current Report on Form 8-K filed with the SEC on</w:t>
              </w:r>
            </w:hyperlink>
          </w:p>
        </w:tc>
        <w:tc>
          <w:tcPr>
            <w:tcW w:w="2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13">
              <w:r>
                <w:rPr>
                  <w:rFonts w:ascii="Times New Roman" w:cs="Times New Roman" w:eastAsia="Times New Roman" w:hAnsi="Times New Roman"/>
                  <w:sz w:val="18"/>
                  <w:szCs w:val="18"/>
                  <w:color w:val="0000FF"/>
                  <w:w w:val="98"/>
                </w:rPr>
                <w:t>December 16, 2024</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35"/>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4"/>
                <w:szCs w:val="24"/>
                <w:color w:val="auto"/>
              </w:rPr>
            </w:pPr>
          </w:p>
        </w:tc>
        <w:tc>
          <w:tcPr>
            <w:tcW w:w="95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Executive Employment Agreement, made as of March 31, 2025, by and between Mastech Digital, Inc. and Kannan Sugantharaman,</w:t>
              </w:r>
            </w:hyperlink>
          </w:p>
        </w:tc>
        <w:tc>
          <w:tcPr>
            <w:tcW w:w="560" w:type="dxa"/>
            <w:vAlign w:val="bottom"/>
            <w:gridSpan w:val="1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incorporated by reference to Exhibit 10.1 to Mastech Digital, Inc.’s Current Report on Form 8-K, filed with the Securities and Exchange</w:t>
              </w:r>
            </w:hyperlink>
          </w:p>
        </w:tc>
        <w:tc>
          <w:tcPr>
            <w:tcW w:w="22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Commission on April 4, 2025</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Executive Employment Agreement, made as of March 31, 2025, by and between Mastech Digital Private Limited and Kannan</w:t>
              </w:r>
            </w:hyperlink>
          </w:p>
        </w:tc>
        <w:tc>
          <w:tcPr>
            <w:tcW w:w="96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Sugantharaman, incorporated by reference to Exhibit 10.2 to Mastech Digital, Inc.’s Current Report on Form 8-K, filed with the Securities</w:t>
              </w:r>
            </w:hyperlink>
          </w:p>
        </w:tc>
        <w:tc>
          <w:tcPr>
            <w:tcW w:w="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and Exchange Commission on April 4, 2025</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Fourth Amended and Restated Executive Employment Agreement, dated as of March 20, 2019, between Mastech Digital Technologies,</w:t>
              </w:r>
            </w:hyperlink>
          </w:p>
        </w:tc>
        <w:tc>
          <w:tcPr>
            <w:tcW w:w="26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Inc., Mastech Digital, Inc. and Vivek Gupta, incorporated by reference to Exhibit 10.1 to Mastech Digital, Inc.’s Current Report on Form 8-</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K filed with the SEC on March 21, 2019</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Borders>
              <w:right w:val="single" w:sz="8" w:color="0000EE"/>
            </w:tcBorders>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24"/>
                <w:szCs w:val="24"/>
                <w:color w:val="auto"/>
              </w:rPr>
            </w:pPr>
          </w:p>
        </w:tc>
        <w:tc>
          <w:tcPr>
            <w:tcW w:w="10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Fourth Amended and Restated Executive Employment Agreement, dated as of March 8, 2024, between Mastech Digital Technologies, Inc.,</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Mastech Digital, Inc. and John J. Cronin, Jr., incorporated by reference to Exhibit 10.2 to Mastech Digital, Inc.’s Current Report on Form</w:t>
              </w:r>
            </w:hyperlink>
          </w:p>
        </w:tc>
        <w:tc>
          <w:tcPr>
            <w:tcW w:w="14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8-K filed with the SEC on March 12, 2024</w:t>
              </w:r>
            </w:hyperlink>
          </w:p>
        </w:tc>
        <w:tc>
          <w:tcPr>
            <w:tcW w:w="20" w:type="dxa"/>
            <w:vAlign w:val="bottom"/>
            <w:tcBorders>
              <w:bottom w:val="single" w:sz="8" w:color="0000EE"/>
            </w:tcBorders>
          </w:tcPr>
          <w:p>
            <w:pPr>
              <w:spacing w:after="0"/>
              <w:rPr>
                <w:sz w:val="17"/>
                <w:szCs w:val="17"/>
                <w:color w:val="auto"/>
              </w:rPr>
            </w:pPr>
          </w:p>
        </w:tc>
        <w:tc>
          <w:tcPr>
            <w:tcW w:w="7000" w:type="dxa"/>
            <w:vAlign w:val="bottom"/>
            <w:gridSpan w:val="29"/>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24"/>
                <w:szCs w:val="24"/>
                <w:color w:val="auto"/>
              </w:rPr>
            </w:pPr>
          </w:p>
        </w:tc>
        <w:tc>
          <w:tcPr>
            <w:tcW w:w="96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Confidential Separation Agreement and General Release among Mastech Digital, Inc., Mastech Digital Technologies, Inc. and Vivek</w:t>
              </w:r>
            </w:hyperlink>
          </w:p>
        </w:tc>
        <w:tc>
          <w:tcPr>
            <w:tcW w:w="46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Gupta, incorporated by reference to Exhibit 10.14 to Mastech Digital, Inc.’s Annual Report on Form 10-K, filed with the Securities and</w:t>
              </w:r>
            </w:hyperlink>
          </w:p>
        </w:tc>
        <w:tc>
          <w:tcPr>
            <w:tcW w:w="3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Exchange Commission on March 14, 2025</w:t>
              </w:r>
            </w:hyperlink>
          </w:p>
        </w:tc>
        <w:tc>
          <w:tcPr>
            <w:tcW w:w="20" w:type="dxa"/>
            <w:vAlign w:val="bottom"/>
            <w:tcBorders>
              <w:bottom w:val="single" w:sz="8" w:color="0000EE"/>
            </w:tcBorders>
          </w:tcPr>
          <w:p>
            <w:pPr>
              <w:spacing w:after="0"/>
              <w:rPr>
                <w:sz w:val="17"/>
                <w:szCs w:val="17"/>
                <w:color w:val="auto"/>
              </w:rPr>
            </w:pPr>
          </w:p>
        </w:tc>
        <w:tc>
          <w:tcPr>
            <w:tcW w:w="6980" w:type="dxa"/>
            <w:vAlign w:val="bottom"/>
            <w:gridSpan w:val="28"/>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24"/>
                <w:szCs w:val="24"/>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Confidential Separation Agreement and General Release among Mastech Digital, Inc., Mastech Digital Technologies, Inc. and John J.</w:t>
              </w:r>
            </w:hyperlink>
          </w:p>
        </w:tc>
        <w:tc>
          <w:tcPr>
            <w:tcW w:w="40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Cronin, Jr., incorporated by reference to Exhibit 10.4 to Mastech Digital, Inc.’s Quarterly Report on Form 10-Q, filed with the Securities</w:t>
              </w:r>
            </w:hyperlink>
          </w:p>
        </w:tc>
        <w:tc>
          <w:tcPr>
            <w:tcW w:w="20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and Exchange Commission on August 13, 2025</w:t>
              </w:r>
            </w:hyperlink>
          </w:p>
        </w:tc>
        <w:tc>
          <w:tcPr>
            <w:tcW w:w="20" w:type="dxa"/>
            <w:vAlign w:val="bottom"/>
            <w:tcBorders>
              <w:bottom w:val="single" w:sz="8" w:color="0000EE"/>
            </w:tcBorders>
          </w:tcPr>
          <w:p>
            <w:pPr>
              <w:spacing w:after="0"/>
              <w:rPr>
                <w:sz w:val="17"/>
                <w:szCs w:val="17"/>
                <w:color w:val="auto"/>
              </w:rPr>
            </w:pPr>
          </w:p>
        </w:tc>
        <w:tc>
          <w:tcPr>
            <w:tcW w:w="6640" w:type="dxa"/>
            <w:vAlign w:val="bottom"/>
            <w:gridSpan w:val="25"/>
          </w:tcPr>
          <w:p>
            <w:pPr>
              <w:spacing w:after="0"/>
              <w:rPr>
                <w:sz w:val="17"/>
                <w:szCs w:val="17"/>
                <w:color w:val="auto"/>
              </w:rPr>
            </w:pPr>
          </w:p>
        </w:tc>
      </w:tr>
      <w:tr>
        <w:trPr>
          <w:trHeight w:val="412"/>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24"/>
                <w:szCs w:val="24"/>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Lease Agreement, dated April 2, 2014, between PIBP 210 LLP and Mastech Digital, Inc., incorporated by reference to Exhibit 10.1 to</w:t>
              </w:r>
            </w:hyperlink>
          </w:p>
        </w:tc>
        <w:tc>
          <w:tcPr>
            <w:tcW w:w="40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Mastech Digital, Inc.’s Current Report on Form 8-K filed with the SEC on April 7, 2014</w:t>
              </w:r>
            </w:hyperlink>
          </w:p>
        </w:tc>
        <w:tc>
          <w:tcPr>
            <w:tcW w:w="3680" w:type="dxa"/>
            <w:vAlign w:val="bottom"/>
            <w:gridSpan w:val="24"/>
          </w:tcPr>
          <w:p>
            <w:pPr>
              <w:spacing w:after="0"/>
              <w:rPr>
                <w:sz w:val="17"/>
                <w:szCs w:val="17"/>
                <w:color w:val="auto"/>
              </w:rPr>
            </w:pPr>
          </w:p>
        </w:tc>
      </w:tr>
      <w:tr>
        <w:trPr>
          <w:trHeight w:val="601"/>
        </w:trPr>
        <w:tc>
          <w:tcPr>
            <w:tcW w:w="920" w:type="dxa"/>
            <w:vAlign w:val="bottom"/>
          </w:tcPr>
          <w:p>
            <w:pPr>
              <w:spacing w:after="0"/>
              <w:rPr>
                <w:sz w:val="24"/>
                <w:szCs w:val="24"/>
                <w:color w:val="auto"/>
              </w:rPr>
            </w:pPr>
          </w:p>
        </w:tc>
        <w:tc>
          <w:tcPr>
            <w:tcW w:w="6640" w:type="dxa"/>
            <w:vAlign w:val="bottom"/>
            <w:gridSpan w:val="14"/>
          </w:tcPr>
          <w:p>
            <w:pPr>
              <w:jc w:val="right"/>
              <w:ind w:right="1768"/>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gridSpan w:val="20"/>
          </w:tcPr>
          <w:p>
            <w:pPr>
              <w:ind w:left="440"/>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91"/>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24"/>
                <w:szCs w:val="24"/>
                <w:color w:val="auto"/>
              </w:rPr>
            </w:pPr>
          </w:p>
        </w:tc>
        <w:tc>
          <w:tcPr>
            <w:tcW w:w="97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Lease Deed, made and executed on April 1, 2021, by and between Olympia Tech Park (Chennai) Private Limited and InfoTrellis India</w:t>
              </w:r>
            </w:hyperlink>
          </w:p>
        </w:tc>
        <w:tc>
          <w:tcPr>
            <w:tcW w:w="3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Private Limited, incorporated by reference to Exhibit 10.4 to Mastech Digital, Inc.’s Quarterly Report on Form 10-Q, filed with the SEC on</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May 7, 2021</w:t>
              </w:r>
            </w:hyperlink>
          </w:p>
        </w:tc>
        <w:tc>
          <w:tcPr>
            <w:tcW w:w="9140" w:type="dxa"/>
            <w:vAlign w:val="bottom"/>
            <w:gridSpan w:val="23"/>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24"/>
                <w:szCs w:val="24"/>
                <w:color w:val="auto"/>
              </w:rPr>
            </w:pPr>
          </w:p>
        </w:tc>
        <w:tc>
          <w:tcPr>
            <w:tcW w:w="9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Restricted Stock Agreement under the Mastech Digital, Inc. Stock Incentive Plan (as amended and restated), incorporated by</w:t>
              </w:r>
            </w:hyperlink>
          </w:p>
        </w:tc>
        <w:tc>
          <w:tcPr>
            <w:tcW w:w="4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reference to Exhibit 10.9 to Mastech Digital, Inc.’s Annual Report on Form 10-K filed with the SEC on March 24, 2017</w:t>
              </w:r>
            </w:hyperlink>
          </w:p>
        </w:tc>
        <w:tc>
          <w:tcPr>
            <w:tcW w:w="1400" w:type="dxa"/>
            <w:vAlign w:val="bottom"/>
            <w:gridSpan w:val="11"/>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Pr>
          <w:p>
            <w:pPr>
              <w:spacing w:after="0"/>
              <w:rPr>
                <w:sz w:val="24"/>
                <w:szCs w:val="24"/>
                <w:color w:val="auto"/>
              </w:rPr>
            </w:pPr>
          </w:p>
        </w:tc>
        <w:tc>
          <w:tcPr>
            <w:tcW w:w="93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Non-Qualified Stock Option Agreement under the Mastech Digital, Inc. Stock Incentive Plan (as amended and restated),</w:t>
              </w:r>
            </w:hyperlink>
          </w:p>
        </w:tc>
        <w:tc>
          <w:tcPr>
            <w:tcW w:w="74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incorporated by reference to Exhibit 10.10 to Mastech Digital, Inc.’s Annual Report on Form 10-K filed with the SEC on March 24, 2017</w:t>
              </w:r>
            </w:hyperlink>
          </w:p>
        </w:tc>
        <w:tc>
          <w:tcPr>
            <w:tcW w:w="120" w:type="dxa"/>
            <w:vAlign w:val="bottom"/>
            <w:gridSpan w:val="2"/>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24"/>
                <w:szCs w:val="24"/>
                <w:color w:val="auto"/>
              </w:rPr>
            </w:pPr>
          </w:p>
        </w:tc>
        <w:tc>
          <w:tcPr>
            <w:tcW w:w="95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Mastech Digital, Inc. 2019 Employee Stock Purchase Plan, executed on May 15, 2019, incorporated by reference to Exhibit 10.2 to</w:t>
              </w:r>
            </w:hyperlink>
          </w:p>
        </w:tc>
        <w:tc>
          <w:tcPr>
            <w:tcW w:w="60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Mastech Digital, Inc.’s Current Report on Form 8-K filed with the SEC on May 15, 2019</w:t>
              </w:r>
            </w:hyperlink>
          </w:p>
        </w:tc>
        <w:tc>
          <w:tcPr>
            <w:tcW w:w="3640" w:type="dxa"/>
            <w:vAlign w:val="bottom"/>
            <w:gridSpan w:val="15"/>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Consulting Services Agreement, made and entered into effective as of January 12, 2024, by and among Primentor Inc., Phaneesh Murthy,</w:t>
              </w:r>
            </w:hyperlink>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Srinjay Sengupta, Mastech Digital, Inc., Sunil Wadhwani, and Ashok Trivedi, incorporated by reference to Exhibit 10.1 to Mastech Digital,</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Inc.’s Current Report on Form 8-K filed with the SEC on January 19, 2024</w:t>
              </w:r>
            </w:hyperlink>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24"/>
                <w:szCs w:val="24"/>
                <w:color w:val="auto"/>
              </w:rPr>
            </w:pPr>
          </w:p>
        </w:tc>
        <w:tc>
          <w:tcPr>
            <w:tcW w:w="3740" w:type="dxa"/>
            <w:vAlign w:val="bottom"/>
            <w:tcBorders>
              <w:top w:val="single" w:sz="8" w:color="0000FF"/>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Summary of Director Compensation Arrangements</w:t>
            </w:r>
          </w:p>
        </w:tc>
        <w:tc>
          <w:tcPr>
            <w:tcW w:w="1660" w:type="dxa"/>
            <w:vAlign w:val="bottom"/>
            <w:tcBorders>
              <w:top w:val="single" w:sz="8" w:color="0000FF"/>
            </w:tcBorders>
            <w:gridSpan w:val="3"/>
          </w:tcPr>
          <w:p>
            <w:pPr>
              <w:spacing w:after="0"/>
              <w:rPr>
                <w:sz w:val="24"/>
                <w:szCs w:val="24"/>
                <w:color w:val="auto"/>
              </w:rPr>
            </w:pPr>
          </w:p>
        </w:tc>
        <w:tc>
          <w:tcPr>
            <w:tcW w:w="4700" w:type="dxa"/>
            <w:vAlign w:val="bottom"/>
            <w:gridSpan w:val="17"/>
          </w:tcPr>
          <w:p>
            <w:pPr>
              <w:spacing w:after="0"/>
              <w:rPr>
                <w:sz w:val="24"/>
                <w:szCs w:val="24"/>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4"/>
                <w:szCs w:val="24"/>
                <w:color w:val="auto"/>
              </w:rPr>
            </w:pPr>
          </w:p>
        </w:tc>
        <w:tc>
          <w:tcPr>
            <w:tcW w:w="10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Mastech Digital, Inc.’s Code of Business Conduct and Ethics, as adopted on September 15, 2016, incorporated by reference to Exhibit 14.1</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to Mastech Digital, Inc.’s Annual Report on Form 10-K filed with the SEC on March 24, 2017</w:t>
              </w:r>
            </w:hyperlink>
          </w:p>
        </w:tc>
        <w:tc>
          <w:tcPr>
            <w:tcW w:w="3240" w:type="dxa"/>
            <w:vAlign w:val="bottom"/>
            <w:gridSpan w:val="14"/>
          </w:tcPr>
          <w:p>
            <w:pPr>
              <w:spacing w:after="0"/>
              <w:rPr>
                <w:sz w:val="17"/>
                <w:szCs w:val="17"/>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4"/>
                <w:szCs w:val="24"/>
                <w:color w:val="auto"/>
              </w:rPr>
            </w:pPr>
          </w:p>
        </w:tc>
        <w:tc>
          <w:tcPr>
            <w:tcW w:w="9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Mastech Digital, Inc. Insider Trading Policy, incorporated by reference to Exhibit 19.1 to Mastech Digital, Inc.’s Annual Report on Form</w:t>
            </w:r>
          </w:p>
        </w:tc>
        <w:tc>
          <w:tcPr>
            <w:tcW w:w="16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10-K, filed with the Securities and Exchange Commission on March 14, 2025</w:t>
            </w: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3200" w:type="dxa"/>
            <w:vAlign w:val="bottom"/>
            <w:tcBorders>
              <w:top w:val="single" w:sz="8" w:color="0000FF"/>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List of Subsidiaries of Mastech Digital, Inc.</w:t>
            </w:r>
          </w:p>
        </w:tc>
        <w:tc>
          <w:tcPr>
            <w:tcW w:w="2400" w:type="dxa"/>
            <w:vAlign w:val="bottom"/>
            <w:tcBorders>
              <w:top w:val="single" w:sz="8" w:color="0000FF"/>
            </w:tcBorders>
            <w:gridSpan w:val="5"/>
          </w:tcPr>
          <w:p>
            <w:pPr>
              <w:spacing w:after="0"/>
              <w:rPr>
                <w:sz w:val="24"/>
                <w:szCs w:val="24"/>
                <w:color w:val="auto"/>
              </w:rPr>
            </w:pPr>
          </w:p>
        </w:tc>
        <w:tc>
          <w:tcPr>
            <w:tcW w:w="4500" w:type="dxa"/>
            <w:vAlign w:val="bottom"/>
            <w:gridSpan w:val="16"/>
          </w:tcPr>
          <w:p>
            <w:pPr>
              <w:spacing w:after="0"/>
              <w:rPr>
                <w:sz w:val="24"/>
                <w:szCs w:val="24"/>
                <w:color w:val="auto"/>
              </w:rPr>
            </w:pPr>
          </w:p>
        </w:tc>
      </w:tr>
      <w:tr>
        <w:trPr>
          <w:trHeight w:val="412"/>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5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Consent of UHY LLP, Independent Registered Public Accounting Firm</w:t>
            </w:r>
          </w:p>
        </w:tc>
        <w:tc>
          <w:tcPr>
            <w:tcW w:w="4900" w:type="dxa"/>
            <w:vAlign w:val="bottom"/>
            <w:gridSpan w:val="18"/>
          </w:tcPr>
          <w:p>
            <w:pPr>
              <w:spacing w:after="0"/>
              <w:rPr>
                <w:sz w:val="24"/>
                <w:szCs w:val="24"/>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by Chief Executive Officer</w:t>
            </w:r>
          </w:p>
        </w:tc>
        <w:tc>
          <w:tcPr>
            <w:tcW w:w="2880" w:type="dxa"/>
            <w:vAlign w:val="bottom"/>
            <w:gridSpan w:val="12"/>
          </w:tcPr>
          <w:p>
            <w:pPr>
              <w:spacing w:after="0"/>
              <w:rPr>
                <w:sz w:val="24"/>
                <w:szCs w:val="24"/>
                <w:color w:val="auto"/>
              </w:rPr>
            </w:pPr>
          </w:p>
        </w:tc>
      </w:tr>
      <w:tr>
        <w:trPr>
          <w:trHeight w:val="317"/>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by Chief Financial Officer</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EE"/>
            </w:tcBorders>
            <w:gridSpan w:val="6"/>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9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Chief</w:t>
            </w:r>
          </w:p>
        </w:tc>
        <w:tc>
          <w:tcPr>
            <w:tcW w:w="6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10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by Chief Financial</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Officer</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24"/>
                <w:szCs w:val="24"/>
                <w:color w:val="auto"/>
              </w:rPr>
            </w:pP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Mastech Digital, Inc. Clawback Policy, effective December 1, 2023, incorporated by reference to Exhibit 97.1 to Mastech Digital, Inc.’s</w:t>
              </w:r>
            </w:hyperlink>
          </w:p>
        </w:tc>
        <w:tc>
          <w:tcPr>
            <w:tcW w:w="2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Annual Report on Form 10-K filed with the SEC on March 15, 2024</w:t>
              </w:r>
            </w:hyperlink>
          </w:p>
        </w:tc>
        <w:tc>
          <w:tcPr>
            <w:tcW w:w="5160" w:type="dxa"/>
            <w:vAlign w:val="bottom"/>
            <w:gridSpan w:val="19"/>
          </w:tcPr>
          <w:p>
            <w:pPr>
              <w:spacing w:after="0"/>
              <w:rPr>
                <w:sz w:val="17"/>
                <w:szCs w:val="17"/>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Taxonomy Extension Schema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104Cover Page Interactive Data File (formatted as Inline XBRL and contained in Exhibit 101)</w:t>
      </w:r>
    </w:p>
    <w:p>
      <w:pPr>
        <w:spacing w:after="0" w:line="211" w:lineRule="exact"/>
        <w:rPr>
          <w:sz w:val="20"/>
          <w:szCs w:val="20"/>
          <w:color w:val="auto"/>
        </w:rPr>
      </w:pPr>
    </w:p>
    <w:p>
      <w:pPr>
        <w:ind w:right="2800" w:firstLine="8"/>
        <w:spacing w:after="0" w:line="282" w:lineRule="auto"/>
        <w:tabs>
          <w:tab w:leader="none" w:pos="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Designates the Company’s management contracts or compensation plans or arrangements for its executive officers. * XBRL (eXtensible Business Reporting Language) information is furnished and not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8572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18th day of March, 2026.</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4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this 18th day of March, 2026.</w:t>
      </w:r>
    </w:p>
    <w:p>
      <w:pPr>
        <w:spacing w:after="0" w:line="18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2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0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unil</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adhwani</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Sunil Wadhwani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shok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Ashok Trivedi</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run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Arun Nayar</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1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rinivas</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andula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21590</wp:posOffset>
            </wp:positionV>
            <wp:extent cx="28460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Srinivas Kandula</w:t>
      </w:r>
    </w:p>
    <w:p>
      <w:pPr>
        <w:spacing w:after="0" w:line="1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4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2"/>
          <w:szCs w:val="12"/>
          <w:color w:val="auto"/>
        </w:rPr>
        <w:t>ladimir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Vladimir Rak</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DIRECTOR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Independent non-employee directors of Mastech Digital, Inc. (the “Company”) will receive an annual retainer fee of $75,000 in 2026, the Chair of the Audit Committee will receive an additional annual retainer fee of $15,000 in 2026; the Chair of the Compensation Committee will receive an additional annual retainer fee of $10,000 in 2026; and the Chair of the Nominating Committee will receive an additional annual retainer fee of $5,000. In addition, independent non-employee directors of the Company are eligible to participate in the Company’s Stock Incentive Plan, as amended and restated (the “Stock Incentive Restated Plan”). On January 30, 2026, our independent non-employee directors each received a restricted share grant under the Stock Incentive Plan of 10,807 restricted shares, which shares vest over a one-year period. Additionally, our Independent non-employee directors receive retainer and meeting fees for their service on any ad hoc special committees that are established from time to time.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Non-independent directors of the Company will not receive any compensation for their service as directors of the Company.</w:t>
      </w:r>
    </w:p>
    <w:p>
      <w:pPr>
        <w:spacing w:after="0" w:line="225"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All of the Company’s directors are reimbursed for reasonable travel expenses incurred in connection with attending Board of Directors and committee meetings.</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 INSIDER TRADING POLICY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Mastech Digital,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Insider Trading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Mastech Digital, Inc. and its operating subsidiaries (collectively, the “Company” or “Mastech Digital”) have adopted this Insider Trading Policy (the “Policy”) to promote compliance with applicable securities laws by its directors, officers and employees (“Company Persons”). This Policy is applicable to all Company Persons. Questions regarding this Policy should be directed to the Company’s Manager of Legal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w:t>
      </w:r>
    </w:p>
    <w:p>
      <w:pPr>
        <w:spacing w:after="0" w:line="21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No Company Persons may trade Mastech Digital securities, unless the employee is sure that he or she does not possess material inside information. No Company Persons may disclose such information to others who might use it for trading or might pass it along to others who might trade.</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Similarly, Company Persons may not trade in securities of any other company unless they are sure that they do not possess any material inside information about the company which they obtained in the course of their employment with Mastech Digital, such as information about a major contract, a merger or divestiture.</w:t>
      </w:r>
    </w:p>
    <w:p>
      <w:pPr>
        <w:spacing w:after="0" w:line="17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To avoid even the appearance of impropriety, additional restrictions on trading Mastech Digital securities apply to directors, officers and designated insiders as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Securities:</w:t>
      </w:r>
    </w:p>
    <w:p>
      <w:pPr>
        <w:spacing w:after="0" w:line="20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Securities include common stock and derivative securities, such as put and call options, as well as preferred stock, bonds and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includes buying or selling, as well as writing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Material Information:</w:t>
      </w:r>
    </w:p>
    <w:p>
      <w:pPr>
        <w:spacing w:after="0" w:line="14"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2"/>
          <w:szCs w:val="22"/>
          <w:color w:val="auto"/>
        </w:rPr>
        <w:t>Material information is any information that a reasonable investor would consider important in a decision to buy, sell or hold a security. Any information that could reasonably be expected to affect the price of the securities is likely to be considered material. Material information can be positive or negative and can relate to virtually any aspect of a company’s business. Examples of material information include unexpected financial results, proposed mergers and acquisitions, sale of major assets, changes in dividend policies as well as important business developments.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Inside Information:</w:t>
      </w:r>
    </w:p>
    <w:p>
      <w:pPr>
        <w:spacing w:after="0" w:line="206"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Inside information refers to information that has not yet become publicly available. In order for information to be considered public, it must be widely disseminated in a manner making it generally available to investors through the media. Even after a public announcement of material information is made, a reasonable period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0" w:name="page81"/>
    <w:bookmarkEnd w:id="80"/>
    <w:p>
      <w:pPr>
        <w:ind w:right="360"/>
        <w:spacing w:after="0" w:line="244" w:lineRule="auto"/>
        <w:rPr>
          <w:sz w:val="20"/>
          <w:szCs w:val="20"/>
          <w:color w:val="auto"/>
        </w:rPr>
      </w:pPr>
      <w:r>
        <w:rPr>
          <w:rFonts w:ascii="Times New Roman" w:cs="Times New Roman" w:eastAsia="Times New Roman" w:hAnsi="Times New Roman"/>
          <w:sz w:val="22"/>
          <w:szCs w:val="22"/>
          <w:color w:val="auto"/>
        </w:rPr>
        <w:t>time must elapse in order for the market to react to the information before such information is no longer considered inside information. Generally two (2) full trading days following an announcement is considered a reasonable waiting period before such information is deemed to be public.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Non-disclosure of Material Inside Information:</w:t>
      </w:r>
    </w:p>
    <w:p>
      <w:pPr>
        <w:spacing w:after="0" w:line="1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color w:val="auto"/>
        </w:rPr>
        <w:t>Material inside information must not be disclosed to anyone, except to persons within the Company or third party agents of the Company whose position requires them to know it, until such information has been publicly released by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Prohibition on Trading in Company Securities:</w:t>
      </w:r>
    </w:p>
    <w:p>
      <w:pPr>
        <w:spacing w:after="0" w:line="14" w:lineRule="exact"/>
        <w:rPr>
          <w:sz w:val="20"/>
          <w:szCs w:val="20"/>
          <w:color w:val="auto"/>
        </w:rPr>
      </w:pPr>
    </w:p>
    <w:p>
      <w:pPr>
        <w:jc w:val="both"/>
        <w:ind w:right="360"/>
        <w:spacing w:after="0" w:line="237" w:lineRule="auto"/>
        <w:rPr>
          <w:sz w:val="20"/>
          <w:szCs w:val="20"/>
          <w:color w:val="auto"/>
        </w:rPr>
      </w:pPr>
      <w:r>
        <w:rPr>
          <w:rFonts w:ascii="Times New Roman" w:cs="Times New Roman" w:eastAsia="Times New Roman" w:hAnsi="Times New Roman"/>
          <w:sz w:val="22"/>
          <w:szCs w:val="22"/>
          <w:color w:val="auto"/>
        </w:rPr>
        <w:t>No Company Persons may buy or sell, or recommend that another person buy or sell, Company securities when he or she has knowledge of material information concerning the Company that has not been disclosed to the public.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Short Sales are Prohibited:</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Short sales of Mastech Digital securities (a sale of securities which are not then owned), including a “sale against the box” (a sale with delayed delivery) are prohibited.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Use of Standing Orders:</w:t>
      </w:r>
    </w:p>
    <w:p>
      <w:pPr>
        <w:spacing w:after="0" w:line="14" w:lineRule="exact"/>
        <w:rPr>
          <w:sz w:val="20"/>
          <w:szCs w:val="20"/>
          <w:color w:val="auto"/>
        </w:rPr>
      </w:pPr>
    </w:p>
    <w:p>
      <w:pPr>
        <w:jc w:val="both"/>
        <w:ind w:right="340"/>
        <w:spacing w:after="0" w:line="235" w:lineRule="auto"/>
        <w:rPr>
          <w:sz w:val="20"/>
          <w:szCs w:val="20"/>
          <w:color w:val="auto"/>
        </w:rPr>
      </w:pPr>
      <w:r>
        <w:rPr>
          <w:rFonts w:ascii="Times New Roman" w:cs="Times New Roman" w:eastAsia="Times New Roman" w:hAnsi="Times New Roman"/>
          <w:sz w:val="22"/>
          <w:szCs w:val="22"/>
          <w:color w:val="auto"/>
        </w:rPr>
        <w:t>Standing orders for Mastech Digital securities should be used only for a very brief period of time. The issue with buying and selling securities from standing instructions to a broker is that there is no control over the timing of the transaction. Thus, the broker could execute a transaction when you are in possession of material inside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Restrictions and Requirements for Directors, Officers and Designated Insiders: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These additional restrictions and requirements detailed below apply to the Company’s directors, executive officers and employees who have been designated as insiders and listed on Schedule A. All of these individuals are referred to as “Insiders”.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Trading Window:</w:t>
      </w:r>
    </w:p>
    <w:p>
      <w:pPr>
        <w:spacing w:after="0" w:line="14" w:lineRule="exact"/>
        <w:rPr>
          <w:sz w:val="20"/>
          <w:szCs w:val="20"/>
          <w:color w:val="auto"/>
        </w:rPr>
      </w:pP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In addition to being subject to all of the other provisions of this Policy, Insiders may only buy or sell Company securities in the public market during specific quarterly “window periods”. The window period for a fiscal quarter begins at the start of business on the second Trading Day following the date of the Company’s release of its quarterly earnings and ends at the start of business on the day that is twenty-one (21) calendar days before the end of the next fiscal quarter.</w:t>
      </w:r>
    </w:p>
    <w:p>
      <w:pPr>
        <w:spacing w:after="0" w:line="17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Company may, from time to time, impose trading blackouts during window periods, upon notice to those insiders affected. Typically, this will occur when there are non-public developments that would be considered material for insider trading law purposes.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Pre-Clearance of Stock Transactions:</w:t>
      </w:r>
    </w:p>
    <w:p>
      <w:pPr>
        <w:spacing w:after="0" w:line="20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Insiders must contact Jennifer Lacey (the “Company’s Compliance Officer”) before buying or selling any Company securities. While the exercise of options and the purchase of shares granted under the Company’s benefit plans will not be considered to be a “purchase” for these purposes, the sale or other transfer of any shares received upon the exercise of options or shares you have purchased or received pursuant to the Company’s benefit plans is considered to be a “sale” and must be pre-cleared. . If the Company is aware of circumstances that might subject an Insider to a charge of trading on the basis of material non-public information, the Company will recommend the suspension of such trading.</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u w:val="single" w:color="auto"/>
          <w:color w:val="auto"/>
        </w:rPr>
        <w:t>Filing Section 16 Filings:</w:t>
      </w:r>
    </w:p>
    <w:p>
      <w:pPr>
        <w:spacing w:after="0" w:line="1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Some Insiders, as indicated in Schedule A, are obligated to file Section 16 reports when they engage in transactions involving Mastech Digital securities. The Company’s Compliance Officer will assist in preparing and filing these Forms 3, 4, and 5; however, timely filing is the individual responsibility of the reporting person. Because Form 4 filings are required within two (2) business days after a change in beneficial ownership, the Company recommends that all insiders subject to Section 16 filings execute powers of attorney enabling our attorneys, Blank Rome, to sign these Forms on their behalf.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Certifications:</w:t>
      </w:r>
    </w:p>
    <w:p>
      <w:pPr>
        <w:spacing w:after="0" w:line="14" w:lineRule="exact"/>
        <w:rPr>
          <w:sz w:val="20"/>
          <w:szCs w:val="20"/>
          <w:color w:val="auto"/>
        </w:rPr>
      </w:pPr>
    </w:p>
    <w:p>
      <w:pPr>
        <w:ind w:right="580"/>
        <w:spacing w:after="0" w:line="235" w:lineRule="auto"/>
        <w:rPr>
          <w:sz w:val="20"/>
          <w:szCs w:val="20"/>
          <w:color w:val="auto"/>
        </w:rPr>
      </w:pPr>
      <w:r>
        <w:rPr>
          <w:rFonts w:ascii="Times New Roman" w:cs="Times New Roman" w:eastAsia="Times New Roman" w:hAnsi="Times New Roman"/>
          <w:sz w:val="22"/>
          <w:szCs w:val="22"/>
          <w:color w:val="auto"/>
        </w:rPr>
        <w:t>All Insiders of the Company must certify their understanding of, and intent to comply with this Policy. Should your name appear on Schedule A below, it is important that you execute the enclosed certification and return it to the Company’s Compliance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REPORTING CONTACTS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Manager of Legal Affairs and Compliance Officer:</w:t>
      </w:r>
    </w:p>
    <w:p>
      <w:pPr>
        <w:spacing w:after="0" w:line="230" w:lineRule="auto"/>
        <w:rPr>
          <w:sz w:val="20"/>
          <w:szCs w:val="20"/>
          <w:color w:val="auto"/>
        </w:rPr>
      </w:pPr>
      <w:r>
        <w:rPr>
          <w:rFonts w:ascii="Times New Roman" w:cs="Times New Roman" w:eastAsia="Times New Roman" w:hAnsi="Times New Roman"/>
          <w:sz w:val="22"/>
          <w:szCs w:val="22"/>
          <w:color w:val="auto"/>
        </w:rPr>
        <w:t>Jennifer Ford Lacey</w:t>
      </w:r>
    </w:p>
    <w:p>
      <w:pPr>
        <w:spacing w:after="0" w:line="231" w:lineRule="auto"/>
        <w:rPr>
          <w:sz w:val="20"/>
          <w:szCs w:val="20"/>
          <w:color w:val="auto"/>
        </w:rPr>
      </w:pPr>
      <w:r>
        <w:rPr>
          <w:rFonts w:ascii="Times New Roman" w:cs="Times New Roman" w:eastAsia="Times New Roman" w:hAnsi="Times New Roman"/>
          <w:sz w:val="22"/>
          <w:szCs w:val="22"/>
          <w:color w:val="auto"/>
        </w:rPr>
        <w:t>1305 Cherrington Parkway</w:t>
      </w:r>
    </w:p>
    <w:p>
      <w:pPr>
        <w:spacing w:after="0" w:line="230" w:lineRule="auto"/>
        <w:rPr>
          <w:sz w:val="20"/>
          <w:szCs w:val="20"/>
          <w:color w:val="auto"/>
        </w:rPr>
      </w:pPr>
      <w:r>
        <w:rPr>
          <w:rFonts w:ascii="Times New Roman" w:cs="Times New Roman" w:eastAsia="Times New Roman" w:hAnsi="Times New Roman"/>
          <w:sz w:val="22"/>
          <w:szCs w:val="22"/>
          <w:color w:val="auto"/>
        </w:rPr>
        <w:t>Bldg, 210, Suite 400</w:t>
      </w:r>
    </w:p>
    <w:p>
      <w:pPr>
        <w:spacing w:after="0" w:line="231" w:lineRule="auto"/>
        <w:rPr>
          <w:sz w:val="20"/>
          <w:szCs w:val="20"/>
          <w:color w:val="auto"/>
        </w:rPr>
      </w:pPr>
      <w:r>
        <w:rPr>
          <w:rFonts w:ascii="Times New Roman" w:cs="Times New Roman" w:eastAsia="Times New Roman" w:hAnsi="Times New Roman"/>
          <w:sz w:val="22"/>
          <w:szCs w:val="22"/>
          <w:color w:val="auto"/>
        </w:rPr>
        <w:t>Moon Township, PA 15108</w:t>
      </w:r>
    </w:p>
    <w:p>
      <w:pPr>
        <w:spacing w:after="0" w:line="230" w:lineRule="auto"/>
        <w:rPr>
          <w:sz w:val="20"/>
          <w:szCs w:val="20"/>
          <w:color w:val="auto"/>
        </w:rPr>
      </w:pPr>
      <w:r>
        <w:rPr>
          <w:rFonts w:ascii="Times New Roman" w:cs="Times New Roman" w:eastAsia="Times New Roman" w:hAnsi="Times New Roman"/>
          <w:sz w:val="22"/>
          <w:szCs w:val="22"/>
          <w:color w:val="auto"/>
        </w:rPr>
        <w:t>412-490-9606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jennifer.lacey@mastech digital.com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Penalties for Non-Compliance:</w:t>
      </w:r>
    </w:p>
    <w:p>
      <w:pPr>
        <w:spacing w:after="0" w:line="18"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1"/>
          <w:szCs w:val="21"/>
          <w:color w:val="auto"/>
        </w:rPr>
        <w:t>The following penalties apply under the United States Securities and Exchange Commission (the “SEC”) Rule 10b-5, which prohibits trading on material inside information: imprisonment for up to 20 years; criminal fines of up to $5 million; civil penalties of up to three (3) times the profits gained or losses avoided; prejudgment interest; and private party damages.</w:t>
      </w:r>
    </w:p>
    <w:p>
      <w:pPr>
        <w:spacing w:after="0" w:line="169" w:lineRule="exact"/>
        <w:rPr>
          <w:sz w:val="20"/>
          <w:szCs w:val="20"/>
          <w:color w:val="auto"/>
        </w:rPr>
      </w:pPr>
    </w:p>
    <w:p>
      <w:pPr>
        <w:ind w:right="740"/>
        <w:spacing w:after="0" w:line="254" w:lineRule="auto"/>
        <w:rPr>
          <w:sz w:val="20"/>
          <w:szCs w:val="20"/>
          <w:color w:val="auto"/>
        </w:rPr>
      </w:pPr>
      <w:r>
        <w:rPr>
          <w:rFonts w:ascii="Times New Roman" w:cs="Times New Roman" w:eastAsia="Times New Roman" w:hAnsi="Times New Roman"/>
          <w:sz w:val="22"/>
          <w:szCs w:val="22"/>
          <w:color w:val="auto"/>
        </w:rPr>
        <w:t>Company Persons who violate this Policy shall also be subject to disciplinary action imposed by the Company, up to and including termination of employment.</w:t>
      </w: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5"/>
          <w:szCs w:val="25"/>
          <w:b w:val="1"/>
          <w:bCs w:val="1"/>
          <w:color w:val="auto"/>
        </w:rPr>
        <w:t>Listing of Mastech Digital “Insiders”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Position</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22"/>
                <w:szCs w:val="22"/>
                <w:b w:val="1"/>
                <w:bCs w:val="1"/>
                <w:color w:val="auto"/>
                <w:w w:val="97"/>
              </w:rPr>
              <w:t>Subject to Section 16</w:t>
            </w:r>
          </w:p>
        </w:tc>
      </w:tr>
      <w:tr>
        <w:trPr>
          <w:trHeight w:val="20"/>
        </w:trPr>
        <w:tc>
          <w:tcPr>
            <w:tcW w:w="5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2"/>
        </w:trPr>
        <w:tc>
          <w:tcPr>
            <w:tcW w:w="3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Sunil Wadhwani</w:t>
            </w:r>
          </w:p>
        </w:tc>
        <w:tc>
          <w:tcPr>
            <w:tcW w:w="4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 Co-Chairman</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Ashok Trivedi</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 Co-Chairman</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Srinivas Kandula</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Arun Nayar</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Vladimir Rak</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Bonnie K. Smith</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Nirav Patel</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Director, CEO</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John Cronin</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Officer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w w:val="93"/>
              </w:rPr>
              <w:t>Yes</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Jennifer Lacey</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Exec. VP &amp; General Counsel</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Vishwanath Shetty</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Exec. VP &amp; Head, HR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Philippe Bourdon</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VP of Technology &amp; CIO</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Joel Fernandes</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VP of Strategic Finance</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Amit Bansal</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VP and Corporate Controller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Michael Bryan</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Exec. Vice President – EBU Sales</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Shipra Sharma</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Senior Vice President, PBU Sales</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Babu Venkatachalapathy</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Vice President, OBU Sales</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Paul Nedzesky</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Controller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Michelle White</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Divisional Controller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Michael Gibson</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Divisional Controller</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Kishalay Gangopadhyay</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Vice President, Operations</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Jacob Samuel</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Sr. Vice President – Integrated Delivery</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43"/>
        </w:trPr>
        <w:tc>
          <w:tcPr>
            <w:tcW w:w="3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Lavanya Ramkumar</w:t>
            </w:r>
          </w:p>
        </w:tc>
        <w:tc>
          <w:tcPr>
            <w:tcW w:w="4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VP &amp; Deputy Director, India</w:t>
            </w:r>
          </w:p>
        </w:tc>
        <w:tc>
          <w:tcPr>
            <w:tcW w:w="2620" w:type="dxa"/>
            <w:vAlign w:val="bottom"/>
            <w:gridSpan w:val="2"/>
          </w:tcPr>
          <w:p>
            <w:pPr>
              <w:jc w:val="center"/>
              <w:ind w:right="700"/>
              <w:spacing w:after="0" w:line="243" w:lineRule="exact"/>
              <w:rPr>
                <w:sz w:val="20"/>
                <w:szCs w:val="20"/>
                <w:color w:val="auto"/>
              </w:rPr>
            </w:pPr>
            <w:r>
              <w:rPr>
                <w:rFonts w:ascii="Times New Roman" w:cs="Times New Roman" w:eastAsia="Times New Roman" w:hAnsi="Times New Roman"/>
                <w:sz w:val="22"/>
                <w:szCs w:val="22"/>
                <w:color w:val="auto"/>
              </w:rPr>
              <w:t>No</w:t>
            </w:r>
          </w:p>
        </w:tc>
      </w:tr>
      <w:tr>
        <w:trPr>
          <w:trHeight w:val="282"/>
        </w:trPr>
        <w:tc>
          <w:tcPr>
            <w:tcW w:w="3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Rayson Ho</w:t>
            </w:r>
          </w:p>
        </w:tc>
        <w:tc>
          <w:tcPr>
            <w:tcW w:w="4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 CX Client Success</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22"/>
                <w:szCs w:val="22"/>
                <w:color w:val="auto"/>
              </w:rPr>
              <w:t>No</w:t>
            </w:r>
          </w:p>
        </w:tc>
      </w:tr>
      <w:tr>
        <w:trPr>
          <w:trHeight w:val="461"/>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4</w:t>
            </w: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6"/>
        </w:trPr>
        <w:tc>
          <w:tcPr>
            <w:tcW w:w="5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83" w:name="page84"/>
    <w:bookmarkEnd w:id="83"/>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CERTIFICATIONS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206" w:lineRule="exact"/>
        <w:rPr>
          <w:sz w:val="20"/>
          <w:szCs w:val="20"/>
          <w:color w:val="auto"/>
        </w:rPr>
      </w:pPr>
    </w:p>
    <w:p>
      <w:pPr>
        <w:ind w:firstLine="577"/>
        <w:spacing w:after="0" w:line="258"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Insider Trading Policy. I understand that the Insider Trading Compliance Officer is available to answer any questions I have regarding this Policy.</w:t>
      </w:r>
    </w:p>
    <w:p>
      <w:pPr>
        <w:spacing w:after="0" w:line="158" w:lineRule="exact"/>
        <w:rPr>
          <w:rFonts w:ascii="Times New Roman" w:cs="Times New Roman" w:eastAsia="Times New Roman" w:hAnsi="Times New Roman"/>
          <w:sz w:val="22"/>
          <w:szCs w:val="22"/>
          <w:color w:val="auto"/>
        </w:rPr>
      </w:pPr>
    </w:p>
    <w:p>
      <w:pPr>
        <w:ind w:firstLine="577"/>
        <w:spacing w:after="0" w:line="258"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have been designated as an Insider and I am subject to the additional restrictions and requirements as set forth in the Policy.</w:t>
      </w:r>
    </w:p>
    <w:p>
      <w:pPr>
        <w:spacing w:after="0" w:line="158" w:lineRule="exact"/>
        <w:rPr>
          <w:rFonts w:ascii="Times New Roman" w:cs="Times New Roman" w:eastAsia="Times New Roman" w:hAnsi="Times New Roman"/>
          <w:sz w:val="22"/>
          <w:szCs w:val="22"/>
          <w:color w:val="auto"/>
        </w:rPr>
      </w:pPr>
    </w:p>
    <w:p>
      <w:pPr>
        <w:ind w:right="840" w:firstLine="577"/>
        <w:spacing w:after="0" w:line="258"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Insider Trading Policy for as long as I am subject to the Policy. I further understand that my removal as a designated insider must be approved in writing by the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10795</wp:posOffset>
            </wp:positionV>
            <wp:extent cx="27089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10795</wp:posOffset>
            </wp:positionV>
            <wp:extent cx="27089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10795</wp:posOffset>
            </wp:positionV>
            <wp:extent cx="27089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191"/>
        </w:trPr>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Mastech Digital Technologies, Inc.</w:t>
            </w:r>
          </w:p>
        </w:tc>
        <w:tc>
          <w:tcPr>
            <w:tcW w:w="4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Pennsylvania</w:t>
            </w:r>
          </w:p>
        </w:tc>
        <w:tc>
          <w:tcPr>
            <w:tcW w:w="20" w:type="dxa"/>
            <w:vAlign w:val="bottom"/>
          </w:tcPr>
          <w:p>
            <w:pPr>
              <w:spacing w:after="0"/>
              <w:rPr>
                <w:sz w:val="16"/>
                <w:szCs w:val="16"/>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Resourcing, Inc.</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Data, Inc.</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Pvt, Ltd.</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InfoTrellis Digital, Ltd.</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India Pvt, Ltd.</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InfoTrellis, Ltd.</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InfoTrellis Limited</w:t>
            </w:r>
          </w:p>
        </w:tc>
        <w:tc>
          <w:tcPr>
            <w:tcW w:w="4260" w:type="dxa"/>
            <w:vAlign w:val="bottom"/>
          </w:tcPr>
          <w:p>
            <w:pPr>
              <w:spacing w:after="0"/>
              <w:rPr>
                <w:sz w:val="18"/>
                <w:szCs w:val="18"/>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Infotech Pvt, Ltd.</w:t>
            </w:r>
          </w:p>
        </w:tc>
        <w:tc>
          <w:tcPr>
            <w:tcW w:w="4260" w:type="dxa"/>
            <w:vAlign w:val="bottom"/>
          </w:tcPr>
          <w:p>
            <w:pPr>
              <w:spacing w:after="0"/>
              <w:rPr>
                <w:sz w:val="20"/>
                <w:szCs w:val="20"/>
                <w:color w:val="auto"/>
              </w:rPr>
            </w:pPr>
          </w:p>
        </w:tc>
        <w:tc>
          <w:tcPr>
            <w:tcW w:w="2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India</w:t>
            </w:r>
          </w:p>
        </w:tc>
      </w:tr>
      <w:tr>
        <w:trPr>
          <w:trHeight w:val="432"/>
        </w:trPr>
        <w:tc>
          <w:tcPr>
            <w:tcW w:w="4060" w:type="dxa"/>
            <w:vAlign w:val="bottom"/>
          </w:tcPr>
          <w:p>
            <w:pPr>
              <w:spacing w:after="0"/>
              <w:rPr>
                <w:sz w:val="24"/>
                <w:szCs w:val="24"/>
                <w:color w:val="auto"/>
              </w:rPr>
            </w:pPr>
          </w:p>
        </w:tc>
        <w:tc>
          <w:tcPr>
            <w:tcW w:w="426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2"/>
        </w:trPr>
        <w:tc>
          <w:tcPr>
            <w:tcW w:w="40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5" w:name="page86"/>
    <w:bookmarkEnd w:id="85"/>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16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(File Nos. 333-153759, 333-212413, 333-228808, 333-240172, and 333-293460) of Mastech Digital, Inc. of our report dated March 18, 2026, relating to the consolidated financial statements and financial statement schedule, which appear in this Annual Report on Form 10-K.</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8460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6" w:name="page87"/>
    <w:bookmarkEnd w:id="8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17" w:lineRule="exact"/>
        <w:rPr>
          <w:sz w:val="20"/>
          <w:szCs w:val="20"/>
          <w:color w:val="auto"/>
        </w:rPr>
      </w:pPr>
    </w:p>
    <w:p>
      <w:pPr>
        <w:ind w:left="700" w:hanging="183"/>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180" w:firstLine="506"/>
        <w:spacing w:after="0" w:line="266"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8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17" w:lineRule="exact"/>
        <w:rPr>
          <w:sz w:val="20"/>
          <w:szCs w:val="20"/>
          <w:color w:val="auto"/>
        </w:rPr>
      </w:pPr>
    </w:p>
    <w:p>
      <w:pPr>
        <w:ind w:left="700" w:hanging="183"/>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180" w:firstLine="506"/>
        <w:spacing w:after="0" w:line="266" w:lineRule="auto"/>
        <w:tabs>
          <w:tab w:leader="none" w:pos="12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8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8" w:name="page89"/>
    <w:bookmarkEnd w:id="88"/>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2025,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280" w:hanging="254"/>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5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9" w:name="page90"/>
    <w:bookmarkEnd w:id="89"/>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2025,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1280" w:hanging="25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5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decimal"/>
      <w:start w:val="2"/>
    </w:lvl>
  </w:abstractNum>
  <w:abstractNum w:abstractNumId="25">
    <w:nsid w:val="2463B9EA"/>
    <w:multiLevelType w:val="hybridMultilevel"/>
    <w:lvl w:ilvl="0">
      <w:lvlJc w:val="left"/>
      <w:lvlText w:val="&amp;"/>
      <w:numFmt w:val="bullet"/>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1."/>
      <w:numFmt w:val="decimal"/>
      <w:start w:val="4"/>
    </w:lvl>
  </w:abstractNum>
  <w:abstractNum w:abstractNumId="28">
    <w:nsid w:val="2D517796"/>
    <w:multiLevelType w:val="hybridMultilevel"/>
    <w:lvl w:ilvl="0">
      <w:lvlJc w:val="left"/>
      <w:lvlText w:val="%1."/>
      <w:numFmt w:val="decimal"/>
      <w:start w:val="5"/>
    </w:lvl>
  </w:abstractNum>
  <w:abstractNum w:abstractNumId="29">
    <w:nsid w:val="580BD78F"/>
    <w:multiLevelType w:val="hybridMultilevel"/>
    <w:lvl w:ilvl="0">
      <w:lvlJc w:val="left"/>
      <w:lvlText w:val="%1."/>
      <w:numFmt w:val="decimal"/>
      <w:start w:val="6"/>
    </w:lvl>
  </w:abstractNum>
  <w:abstractNum w:abstractNumId="30">
    <w:nsid w:val="153EA438"/>
    <w:multiLevelType w:val="hybridMultilevel"/>
    <w:lvl w:ilvl="0">
      <w:lvlJc w:val="left"/>
      <w:lvlText w:val="%1."/>
      <w:numFmt w:val="decimal"/>
      <w:start w:val="7"/>
    </w:lvl>
  </w:abstractNum>
  <w:abstractNum w:abstractNumId="31">
    <w:nsid w:val="3855585C"/>
    <w:multiLevelType w:val="hybridMultilevel"/>
    <w:lvl w:ilvl="0">
      <w:lvlJc w:val="left"/>
      <w:lvlText w:val="%1."/>
      <w:numFmt w:val="decimal"/>
      <w:start w:val="8"/>
    </w:lvl>
  </w:abstractNum>
  <w:abstractNum w:abstractNumId="32">
    <w:nsid w:val="70A64E2A"/>
    <w:multiLevelType w:val="hybridMultilevel"/>
    <w:lvl w:ilvl="0">
      <w:lvlJc w:val="left"/>
      <w:lvlText w:val="%1."/>
      <w:numFmt w:val="decimal"/>
      <w:start w:val="9"/>
    </w:lvl>
  </w:abstractNum>
  <w:abstractNum w:abstractNumId="33">
    <w:nsid w:val="6A2342EC"/>
    <w:multiLevelType w:val="hybridMultilevel"/>
    <w:lvl w:ilvl="0">
      <w:lvlJc w:val="left"/>
      <w:lvlText w:val="%1."/>
      <w:numFmt w:val="decimal"/>
      <w:start w:val="11"/>
    </w:lvl>
  </w:abstractNum>
  <w:abstractNum w:abstractNumId="34">
    <w:nsid w:val="2A487CB0"/>
    <w:multiLevelType w:val="hybridMultilevel"/>
    <w:lvl w:ilvl="0">
      <w:lvlJc w:val="left"/>
      <w:lvlText w:val="%1."/>
      <w:numFmt w:val="decimal"/>
      <w:start w:val="12"/>
    </w:lvl>
  </w:abstractNum>
  <w:abstractNum w:abstractNumId="35">
    <w:nsid w:val="1D4ED43B"/>
    <w:multiLevelType w:val="hybridMultilevel"/>
    <w:lvl w:ilvl="0">
      <w:lvlJc w:val="left"/>
      <w:lvlText w:val="%1."/>
      <w:numFmt w:val="decimal"/>
      <w:start w:val="13"/>
    </w:lvl>
  </w:abstractNum>
  <w:abstractNum w:abstractNumId="36">
    <w:nsid w:val="725A06FB"/>
    <w:multiLevelType w:val="hybridMultilevel"/>
    <w:lvl w:ilvl="0">
      <w:lvlJc w:val="left"/>
      <w:lvlText w:val="%1."/>
      <w:numFmt w:val="decimal"/>
      <w:start w:val="14"/>
    </w:lvl>
  </w:abstractNum>
  <w:abstractNum w:abstractNumId="37">
    <w:nsid w:val="2CD89A32"/>
    <w:multiLevelType w:val="hybridMultilevel"/>
    <w:lvl w:ilvl="0">
      <w:lvlJc w:val="left"/>
      <w:lvlText w:val="%1."/>
      <w:numFmt w:val="decimal"/>
      <w:start w:val="15"/>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6"/>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7"/>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decimal"/>
      <w:start w:val="3"/>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291" Type="http://schemas.openxmlformats.org/officeDocument/2006/relationships/hyperlink" Target="https://www.sec.gov/Archives/edgar/data/1437226/000119312517227155/d424757dex21.htm" TargetMode="External"/><Relationship Id="rId292" Type="http://schemas.openxmlformats.org/officeDocument/2006/relationships/hyperlink" Target="https://www.sec.gov/Archives/edgar/data/1437226/000119312517227155/d424757dex22.htm" TargetMode="External"/><Relationship Id="rId293" Type="http://schemas.openxmlformats.org/officeDocument/2006/relationships/hyperlink" Target="https://www.sec.gov/Archives/edgar/data/1437226/000119312517227155/d424757dex23.htm" TargetMode="External"/><Relationship Id="rId294" Type="http://schemas.openxmlformats.org/officeDocument/2006/relationships/hyperlink" Target="https://www.sec.gov/Archives/edgar/data/1437226/000119312520264842/d90239dex101.htm" TargetMode="External"/><Relationship Id="rId295" Type="http://schemas.openxmlformats.org/officeDocument/2006/relationships/hyperlink" Target="https://www.sec.gov/Archives/edgar/data/1437226/000119312516707483/d226771dex31.htm" TargetMode="External"/><Relationship Id="rId296" Type="http://schemas.openxmlformats.org/officeDocument/2006/relationships/hyperlink" Target="https://www.sec.gov/Archives/edgar/data/1437226/000119312516707483/d226771dex32.htm" TargetMode="External"/><Relationship Id="rId297" Type="http://schemas.openxmlformats.org/officeDocument/2006/relationships/hyperlink" Target="https://www.sec.gov/Archives/edgar/data/1437226/000119312517094899/d297822dex41.htm" TargetMode="External"/><Relationship Id="rId298" Type="http://schemas.openxmlformats.org/officeDocument/2006/relationships/hyperlink" Target="https://www.sec.gov/Archives/edgar/data/1437226/000119312520251009/d152276dex101.htm" TargetMode="External"/><Relationship Id="rId299" Type="http://schemas.openxmlformats.org/officeDocument/2006/relationships/hyperlink" Target="https://www.sec.gov/Archives/edgar/data/1437226/000119312520090186/d865241dex43.htm" TargetMode="External"/><Relationship Id="rId300" Type="http://schemas.openxmlformats.org/officeDocument/2006/relationships/hyperlink" Target="https://www.sec.gov/Archives/edgar/data/1437226/000119312524140691/d840015dex101.htm" TargetMode="External"/><Relationship Id="rId301" Type="http://schemas.openxmlformats.org/officeDocument/2006/relationships/hyperlink" Target="https://www.sec.gov/Archives/edgar/data/1437226/000119312525122458/d947530dex101.htm" TargetMode="External"/><Relationship Id="rId302" Type="http://schemas.openxmlformats.org/officeDocument/2006/relationships/hyperlink" Target="https://www.sec.gov/Archives/edgar/data/1437226/000119312524279042/d848286dex102.htm" TargetMode="External"/><Relationship Id="rId303" Type="http://schemas.openxmlformats.org/officeDocument/2006/relationships/hyperlink" Target="https://www.sec.gov/Archives/edgar/data/1437226/000119312517231348/d427172dex101.htm" TargetMode="External"/><Relationship Id="rId304" Type="http://schemas.openxmlformats.org/officeDocument/2006/relationships/hyperlink" Target="https://www.sec.gov/Archives/edgar/data/1437226/000119312518159870/d523899dex103.htm" TargetMode="External"/><Relationship Id="rId305" Type="http://schemas.openxmlformats.org/officeDocument/2006/relationships/hyperlink" Target="https://www.sec.gov/Archives/edgar/data/1437226/000119312518131296/d553819dex101.htm" TargetMode="External"/><Relationship Id="rId308" Type="http://schemas.openxmlformats.org/officeDocument/2006/relationships/hyperlink" Target="https://www.sec.gov/Archives/edgar/data/1437226/000119312524068609/d636921dex1011.htm" TargetMode="External"/><Relationship Id="rId309" Type="http://schemas.openxmlformats.org/officeDocument/2006/relationships/hyperlink" Target="https://www.sec.gov/Archives/edgar/data/1437226/000119312524068609/d636921dex1012.htm" TargetMode="External"/><Relationship Id="rId310" Type="http://schemas.openxmlformats.org/officeDocument/2006/relationships/hyperlink" Target="https://www.sec.gov/Archives/edgar/data/1437226/000119312517231348/d427172dex102.htm" TargetMode="External"/><Relationship Id="rId311" Type="http://schemas.openxmlformats.org/officeDocument/2006/relationships/hyperlink" Target="https://www.sec.gov/Archives/edgar/data/1437226/000119312517227155/d424757dex101.htm" TargetMode="External"/><Relationship Id="rId312" Type="http://schemas.openxmlformats.org/officeDocument/2006/relationships/hyperlink" Target="https://www.sec.gov/Archives/edgar/data/1437226/000119312517227155/d424757dex102.htm" TargetMode="External"/><Relationship Id="rId313" Type="http://schemas.openxmlformats.org/officeDocument/2006/relationships/hyperlink" Target="https://www.sec.gov/Archives/edgar/data/1437226/000119312524279042/d848286dex101.htm" TargetMode="External"/><Relationship Id="rId314" Type="http://schemas.openxmlformats.org/officeDocument/2006/relationships/hyperlink" Target="https://www.sec.gov/Archives/edgar/data/1437226/000119312525073415/d938577dex101.htm" TargetMode="External"/><Relationship Id="rId315" Type="http://schemas.openxmlformats.org/officeDocument/2006/relationships/hyperlink" Target="https://www.sec.gov/Archives/edgar/data/1437226/000119312525073415/d938577dex102.htm" TargetMode="External"/><Relationship Id="rId316" Type="http://schemas.openxmlformats.org/officeDocument/2006/relationships/hyperlink" Target="https://www.sec.gov/Archives/edgar/data/1437226/000119312519082184/d706588dex101.htm" TargetMode="External"/><Relationship Id="rId317" Type="http://schemas.openxmlformats.org/officeDocument/2006/relationships/hyperlink" Target="https://www.sec.gov/Archives/edgar/data/1437226/000119312524065845/d751112dex102.htm" TargetMode="External"/><Relationship Id="rId318" Type="http://schemas.openxmlformats.org/officeDocument/2006/relationships/hyperlink" Target="https://www.sec.gov/Archives/edgar/data/1437226/000119312525054447/d818212dex1014.htm" TargetMode="External"/><Relationship Id="rId319" Type="http://schemas.openxmlformats.org/officeDocument/2006/relationships/hyperlink" Target="https://www.sec.gov/Archives/edgar/data/1437226/000119312525179470/d25294dex104.htm" TargetMode="External"/><Relationship Id="rId320" Type="http://schemas.openxmlformats.org/officeDocument/2006/relationships/hyperlink" Target="https://www.sec.gov/Archives/edgar/data/1437226/000119312514133745/d708014dex101.htm" TargetMode="External"/><Relationship Id="rId323" Type="http://schemas.openxmlformats.org/officeDocument/2006/relationships/hyperlink" Target="https://www.sec.gov/Archives/edgar/data/1437226/000119312521154024/d113346dex104.htm" TargetMode="External"/><Relationship Id="rId324" Type="http://schemas.openxmlformats.org/officeDocument/2006/relationships/hyperlink" Target="https://www.sec.gov/Archives/edgar/data/1437226/000119312517094899/d297822dex109.htm" TargetMode="External"/><Relationship Id="rId325" Type="http://schemas.openxmlformats.org/officeDocument/2006/relationships/hyperlink" Target="https://www.sec.gov/Archives/edgar/data/1437226/000119312517094899/d297822dex1010.htm" TargetMode="External"/><Relationship Id="rId326" Type="http://schemas.openxmlformats.org/officeDocument/2006/relationships/hyperlink" Target="https://www.sec.gov/Archives/edgar/data/1437226/000119312519151767/d736344dex102.htm" TargetMode="External"/><Relationship Id="rId327" Type="http://schemas.openxmlformats.org/officeDocument/2006/relationships/hyperlink" Target="https://www.sec.gov/Archives/edgar/data/1437226/000119312524011240/d642155dex101.htm" TargetMode="External"/><Relationship Id="rId328" Type="http://schemas.openxmlformats.org/officeDocument/2006/relationships/hyperlink" Target="https://www.sec.gov/Archives/edgar/data/1437226/000119312517094899/d297822dex141.htm" TargetMode="External"/><Relationship Id="rId329" Type="http://schemas.openxmlformats.org/officeDocument/2006/relationships/hyperlink" Target="https://www.sec.gov/Archives/edgar/data/1437226/000119312524068609/d636921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2026-03-18T08:54:38Z</dcterms:created>
  <dcterms:modified xsi:type="dcterms:W3CDTF">2026-03-18T08:54:38Z</dcterms:modified>
</cp:coreProperties>
</file>