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169545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60" w:right="100" w:hanging="444"/>
        <w:spacing w:after="0" w:line="236" w:lineRule="auto"/>
        <w:tabs>
          <w:tab w:leader="none" w:pos="5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121" w:lineRule="exact"/>
        <w:rPr>
          <w:sz w:val="24"/>
          <w:szCs w:val="24"/>
          <w:color w:val="auto"/>
        </w:rPr>
      </w:pPr>
    </w:p>
    <w:p>
      <w:pPr>
        <w:ind w:left="560" w:right="80" w:hanging="444"/>
        <w:spacing w:after="0" w:line="256" w:lineRule="auto"/>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001-34099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163195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MASTECH DIGITAL,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1" w:lineRule="exact"/>
        <w:rPr>
          <w:sz w:val="24"/>
          <w:szCs w:val="24"/>
          <w:color w:val="auto"/>
        </w:rPr>
      </w:pPr>
    </w:p>
    <w:tbl>
      <w:tblPr>
        <w:tblLayout w:type="fixed"/>
        <w:tblInd w:w="920" w:type="dxa"/>
        <w:tblCellMar>
          <w:top w:w="0" w:type="dxa"/>
          <w:left w:w="0" w:type="dxa"/>
          <w:bottom w:w="0" w:type="dxa"/>
          <w:right w:w="0" w:type="dxa"/>
        </w:tblCellMar>
      </w:tblPr>
      <w:tr>
        <w:trPr>
          <w:trHeight w:val="212"/>
        </w:trPr>
        <w:tc>
          <w:tcPr>
            <w:tcW w:w="5460" w:type="dxa"/>
            <w:vAlign w:val="bottom"/>
          </w:tcPr>
          <w:p>
            <w:pPr>
              <w:jc w:val="center"/>
              <w:ind w:right="1419"/>
              <w:spacing w:after="0"/>
              <w:rPr>
                <w:sz w:val="20"/>
                <w:szCs w:val="20"/>
                <w:color w:val="auto"/>
              </w:rPr>
            </w:pPr>
            <w:r>
              <w:rPr>
                <w:rFonts w:ascii="Arial" w:cs="Arial" w:eastAsia="Arial" w:hAnsi="Arial"/>
                <w:sz w:val="18"/>
                <w:szCs w:val="18"/>
                <w:b w:val="1"/>
                <w:bCs w:val="1"/>
                <w:color w:val="auto"/>
                <w:w w:val="99"/>
              </w:rPr>
              <w:t>PENNSYLVANIA</w:t>
            </w:r>
          </w:p>
        </w:tc>
        <w:tc>
          <w:tcPr>
            <w:tcW w:w="2640" w:type="dxa"/>
            <w:vAlign w:val="bottom"/>
          </w:tcPr>
          <w:p>
            <w:pPr>
              <w:jc w:val="right"/>
              <w:ind w:right="41"/>
              <w:spacing w:after="0"/>
              <w:rPr>
                <w:sz w:val="20"/>
                <w:szCs w:val="20"/>
                <w:color w:val="auto"/>
              </w:rPr>
            </w:pPr>
            <w:r>
              <w:rPr>
                <w:rFonts w:ascii="Arial" w:cs="Arial" w:eastAsia="Arial" w:hAnsi="Arial"/>
                <w:sz w:val="18"/>
                <w:szCs w:val="18"/>
                <w:b w:val="1"/>
                <w:bCs w:val="1"/>
                <w:color w:val="auto"/>
              </w:rPr>
              <w:t>26-2753540</w:t>
            </w:r>
          </w:p>
        </w:tc>
      </w:tr>
      <w:tr>
        <w:trPr>
          <w:trHeight w:val="149"/>
        </w:trPr>
        <w:tc>
          <w:tcPr>
            <w:tcW w:w="5460" w:type="dxa"/>
            <w:vAlign w:val="bottom"/>
          </w:tcPr>
          <w:p>
            <w:pPr>
              <w:jc w:val="center"/>
              <w:ind w:right="14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640" w:type="dxa"/>
            <w:vAlign w:val="bottom"/>
          </w:tcPr>
          <w:p>
            <w:pPr>
              <w:jc w:val="center"/>
              <w:ind w:left="14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460" w:type="dxa"/>
            <w:vAlign w:val="bottom"/>
          </w:tcPr>
          <w:p>
            <w:pPr>
              <w:jc w:val="center"/>
              <w:ind w:right="1419"/>
              <w:spacing w:after="0"/>
              <w:rPr>
                <w:sz w:val="20"/>
                <w:szCs w:val="20"/>
                <w:color w:val="auto"/>
              </w:rPr>
            </w:pPr>
            <w:r>
              <w:rPr>
                <w:rFonts w:ascii="Arial" w:cs="Arial" w:eastAsia="Arial" w:hAnsi="Arial"/>
                <w:sz w:val="14"/>
                <w:szCs w:val="14"/>
                <w:b w:val="1"/>
                <w:bCs w:val="1"/>
                <w:color w:val="auto"/>
                <w:w w:val="94"/>
              </w:rPr>
              <w:t>incorporation or organization)</w:t>
            </w:r>
          </w:p>
        </w:tc>
        <w:tc>
          <w:tcPr>
            <w:tcW w:w="2640" w:type="dxa"/>
            <w:vAlign w:val="bottom"/>
          </w:tcPr>
          <w:p>
            <w:pPr>
              <w:jc w:val="center"/>
              <w:ind w:left="1441"/>
              <w:spacing w:after="0"/>
              <w:rPr>
                <w:sz w:val="20"/>
                <w:szCs w:val="20"/>
                <w:color w:val="auto"/>
              </w:rPr>
            </w:pPr>
            <w:r>
              <w:rPr>
                <w:rFonts w:ascii="Arial" w:cs="Arial" w:eastAsia="Arial" w:hAnsi="Arial"/>
                <w:sz w:val="14"/>
                <w:szCs w:val="14"/>
                <w:b w:val="1"/>
                <w:bCs w:val="1"/>
                <w:color w:val="auto"/>
                <w:w w:val="94"/>
              </w:rPr>
              <w:t>Identification No.)</w:t>
            </w:r>
          </w:p>
        </w:tc>
      </w:tr>
      <w:tr>
        <w:trPr>
          <w:trHeight w:val="331"/>
        </w:trPr>
        <w:tc>
          <w:tcPr>
            <w:tcW w:w="5460" w:type="dxa"/>
            <w:vAlign w:val="bottom"/>
          </w:tcPr>
          <w:p>
            <w:pPr>
              <w:jc w:val="center"/>
              <w:ind w:right="1419"/>
              <w:spacing w:after="0"/>
              <w:rPr>
                <w:sz w:val="20"/>
                <w:szCs w:val="20"/>
                <w:color w:val="auto"/>
              </w:rPr>
            </w:pPr>
            <w:r>
              <w:rPr>
                <w:rFonts w:ascii="Arial" w:cs="Arial" w:eastAsia="Arial" w:hAnsi="Arial"/>
                <w:sz w:val="18"/>
                <w:szCs w:val="18"/>
                <w:b w:val="1"/>
                <w:bCs w:val="1"/>
                <w:color w:val="auto"/>
                <w:w w:val="91"/>
              </w:rPr>
              <w:t>1305 Cherrington Parkway, Building 210, Suite 400</w:t>
            </w:r>
          </w:p>
        </w:tc>
        <w:tc>
          <w:tcPr>
            <w:tcW w:w="2640" w:type="dxa"/>
            <w:vAlign w:val="bottom"/>
          </w:tcPr>
          <w:p>
            <w:pPr>
              <w:spacing w:after="0"/>
              <w:rPr>
                <w:sz w:val="24"/>
                <w:szCs w:val="24"/>
                <w:color w:val="auto"/>
              </w:rPr>
            </w:pPr>
          </w:p>
        </w:tc>
      </w:tr>
      <w:tr>
        <w:trPr>
          <w:trHeight w:val="225"/>
        </w:trPr>
        <w:tc>
          <w:tcPr>
            <w:tcW w:w="5460" w:type="dxa"/>
            <w:vAlign w:val="bottom"/>
          </w:tcPr>
          <w:p>
            <w:pPr>
              <w:jc w:val="center"/>
              <w:ind w:right="1419"/>
              <w:spacing w:after="0"/>
              <w:rPr>
                <w:sz w:val="20"/>
                <w:szCs w:val="20"/>
                <w:color w:val="auto"/>
              </w:rPr>
            </w:pPr>
            <w:r>
              <w:rPr>
                <w:rFonts w:ascii="Arial" w:cs="Arial" w:eastAsia="Arial" w:hAnsi="Arial"/>
                <w:sz w:val="18"/>
                <w:szCs w:val="18"/>
                <w:b w:val="1"/>
                <w:bCs w:val="1"/>
                <w:color w:val="auto"/>
                <w:w w:val="90"/>
              </w:rPr>
              <w:t>Moon Township, Pennsylvania</w:t>
            </w:r>
          </w:p>
        </w:tc>
        <w:tc>
          <w:tcPr>
            <w:tcW w:w="2640" w:type="dxa"/>
            <w:vAlign w:val="bottom"/>
          </w:tcPr>
          <w:p>
            <w:pPr>
              <w:jc w:val="right"/>
              <w:ind w:right="261"/>
              <w:spacing w:after="0"/>
              <w:rPr>
                <w:sz w:val="20"/>
                <w:szCs w:val="20"/>
                <w:color w:val="auto"/>
              </w:rPr>
            </w:pPr>
            <w:r>
              <w:rPr>
                <w:rFonts w:ascii="Arial" w:cs="Arial" w:eastAsia="Arial" w:hAnsi="Arial"/>
                <w:sz w:val="18"/>
                <w:szCs w:val="18"/>
                <w:b w:val="1"/>
                <w:bCs w:val="1"/>
                <w:color w:val="auto"/>
              </w:rPr>
              <w:t>15108</w:t>
            </w:r>
          </w:p>
        </w:tc>
      </w:tr>
      <w:tr>
        <w:trPr>
          <w:trHeight w:val="186"/>
        </w:trPr>
        <w:tc>
          <w:tcPr>
            <w:tcW w:w="5460" w:type="dxa"/>
            <w:vAlign w:val="bottom"/>
          </w:tcPr>
          <w:p>
            <w:pPr>
              <w:jc w:val="center"/>
              <w:ind w:right="14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640" w:type="dxa"/>
            <w:vAlign w:val="bottom"/>
          </w:tcPr>
          <w:p>
            <w:pPr>
              <w:jc w:val="center"/>
              <w:ind w:left="1441"/>
              <w:spacing w:after="0"/>
              <w:rPr>
                <w:sz w:val="20"/>
                <w:szCs w:val="20"/>
                <w:color w:val="auto"/>
              </w:rPr>
            </w:pPr>
            <w:r>
              <w:rPr>
                <w:rFonts w:ascii="Arial" w:cs="Arial" w:eastAsia="Arial" w:hAnsi="Arial"/>
                <w:sz w:val="14"/>
                <w:szCs w:val="14"/>
                <w:b w:val="1"/>
                <w:bCs w:val="1"/>
                <w:color w:val="auto"/>
                <w:w w:val="98"/>
              </w:rPr>
              <w:t>(Zip Code)</w:t>
            </w:r>
          </w:p>
        </w:tc>
      </w:tr>
    </w:tbl>
    <w:p>
      <w:pPr>
        <w:spacing w:after="0" w:line="7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(412) 787-2100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163195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4" w:lineRule="exact"/>
        <w:rPr>
          <w:sz w:val="24"/>
          <w:szCs w:val="24"/>
          <w:color w:val="auto"/>
        </w:rPr>
      </w:pPr>
    </w:p>
    <w:tbl>
      <w:tblPr>
        <w:tblLayout w:type="fixed"/>
        <w:tblInd w:w="42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4040" w:type="dxa"/>
            <w:vAlign w:val="bottom"/>
            <w:gridSpan w:val="3"/>
          </w:tcPr>
          <w:p>
            <w:pPr>
              <w:jc w:val="center"/>
              <w:ind w:left="2539"/>
              <w:spacing w:after="0"/>
              <w:rPr>
                <w:sz w:val="20"/>
                <w:szCs w:val="20"/>
                <w:color w:val="auto"/>
              </w:rPr>
            </w:pPr>
            <w:r>
              <w:rPr>
                <w:rFonts w:ascii="Arial" w:cs="Arial" w:eastAsia="Arial" w:hAnsi="Arial"/>
                <w:sz w:val="14"/>
                <w:szCs w:val="14"/>
                <w:b w:val="1"/>
                <w:bCs w:val="1"/>
                <w:color w:val="auto"/>
                <w:w w:val="88"/>
              </w:rPr>
              <w:t>Name of each exchange</w:t>
            </w:r>
          </w:p>
        </w:tc>
      </w:tr>
      <w:tr>
        <w:trPr>
          <w:trHeight w:val="191"/>
        </w:trPr>
        <w:tc>
          <w:tcPr>
            <w:tcW w:w="102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880" w:type="dxa"/>
            <w:vAlign w:val="bottom"/>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272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100" w:type="dxa"/>
            <w:vAlign w:val="bottom"/>
          </w:tcPr>
          <w:p>
            <w:pPr>
              <w:spacing w:after="0"/>
              <w:rPr>
                <w:sz w:val="16"/>
                <w:szCs w:val="16"/>
                <w:color w:val="auto"/>
              </w:rPr>
            </w:pPr>
          </w:p>
        </w:tc>
      </w:tr>
      <w:tr>
        <w:trPr>
          <w:trHeight w:val="221"/>
        </w:trPr>
        <w:tc>
          <w:tcPr>
            <w:tcW w:w="5000" w:type="dxa"/>
            <w:vAlign w:val="bottom"/>
            <w:gridSpan w:val="3"/>
          </w:tcPr>
          <w:p>
            <w:pPr>
              <w:jc w:val="center"/>
              <w:ind w:right="1880"/>
              <w:spacing w:after="0"/>
              <w:rPr>
                <w:sz w:val="20"/>
                <w:szCs w:val="20"/>
                <w:color w:val="auto"/>
              </w:rPr>
            </w:pPr>
            <w:r>
              <w:rPr>
                <w:rFonts w:ascii="Arial" w:cs="Arial" w:eastAsia="Arial" w:hAnsi="Arial"/>
                <w:sz w:val="18"/>
                <w:szCs w:val="18"/>
                <w:b w:val="1"/>
                <w:bCs w:val="1"/>
                <w:color w:val="auto"/>
                <w:w w:val="89"/>
              </w:rPr>
              <w:t>Common Stock, par value $.01 per share</w:t>
            </w: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rPr>
              <w:t>MHH</w:t>
            </w:r>
          </w:p>
        </w:tc>
        <w:tc>
          <w:tcPr>
            <w:tcW w:w="4040" w:type="dxa"/>
            <w:vAlign w:val="bottom"/>
            <w:gridSpan w:val="3"/>
          </w:tcPr>
          <w:p>
            <w:pPr>
              <w:jc w:val="center"/>
              <w:ind w:left="2539"/>
              <w:spacing w:after="0"/>
              <w:rPr>
                <w:sz w:val="20"/>
                <w:szCs w:val="20"/>
                <w:color w:val="auto"/>
              </w:rPr>
            </w:pPr>
            <w:r>
              <w:rPr>
                <w:rFonts w:ascii="Arial" w:cs="Arial" w:eastAsia="Arial" w:hAnsi="Arial"/>
                <w:sz w:val="18"/>
                <w:szCs w:val="18"/>
                <w:b w:val="1"/>
                <w:bCs w:val="1"/>
                <w:color w:val="auto"/>
                <w:w w:val="92"/>
              </w:rPr>
              <w:t>NYSE American</w:t>
            </w:r>
          </w:p>
        </w:tc>
      </w:tr>
    </w:tbl>
    <w:p>
      <w:pPr>
        <w:spacing w:after="0" w:line="75"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120" w:right="240"/>
        <w:spacing w:after="0" w:line="230"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7" w:lineRule="exact"/>
        <w:rPr>
          <w:sz w:val="24"/>
          <w:szCs w:val="24"/>
          <w:color w:val="auto"/>
        </w:rPr>
      </w:pPr>
    </w:p>
    <w:p>
      <w:pPr>
        <w:jc w:val="both"/>
        <w:ind w:left="120" w:right="140" w:firstLine="44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4" w:lineRule="exact"/>
        <w:rPr>
          <w:sz w:val="24"/>
          <w:szCs w:val="24"/>
          <w:color w:val="auto"/>
        </w:rPr>
      </w:pPr>
    </w:p>
    <w:tbl>
      <w:tblPr>
        <w:tblLayout w:type="fixed"/>
        <w:tblInd w:w="12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320" w:type="dxa"/>
            <w:vAlign w:val="bottom"/>
          </w:tcPr>
          <w:p>
            <w:pPr>
              <w:ind w:left="318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6" w:lineRule="exact"/>
        <w:rPr>
          <w:sz w:val="24"/>
          <w:szCs w:val="24"/>
          <w:color w:val="auto"/>
        </w:rPr>
      </w:pPr>
    </w:p>
    <w:p>
      <w:pPr>
        <w:ind w:left="120" w:right="120" w:firstLine="44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 w:lineRule="exact"/>
        <w:rPr>
          <w:sz w:val="24"/>
          <w:szCs w:val="24"/>
          <w:color w:val="auto"/>
        </w:rPr>
      </w:pPr>
    </w:p>
    <w:p>
      <w:pPr>
        <w:ind w:left="120" w:right="1040" w:firstLine="440"/>
        <w:spacing w:after="0" w:line="29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par value $.01 per share, outstanding as of July 31, 2023 was 11,596,031.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95250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137795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MASTECH DIGITAL,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THE QUARTER ENDED JUNE 30, 2023</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8"/>
                <w:szCs w:val="18"/>
                <w:color w:val="auto"/>
              </w:rPr>
              <w:t>PART 1</w:t>
            </w:r>
          </w:p>
        </w:tc>
        <w:tc>
          <w:tcPr>
            <w:tcW w:w="9720" w:type="dxa"/>
            <w:vAlign w:val="bottom"/>
            <w:gridSpan w:val="22"/>
            <w:vMerge w:val="restart"/>
          </w:tcPr>
          <w:p>
            <w:pPr>
              <w:spacing w:after="0"/>
              <w:rPr>
                <w:sz w:val="20"/>
                <w:szCs w:val="20"/>
                <w:color w:val="auto"/>
              </w:rPr>
            </w:pPr>
            <w:r>
              <w:rPr>
                <w:rFonts w:ascii="Arial" w:cs="Arial" w:eastAsia="Arial" w:hAnsi="Arial"/>
                <w:sz w:val="18"/>
                <w:szCs w:val="18"/>
                <w:color w:val="0000EE"/>
              </w:rPr>
              <w:t>FINANCIAL INFORMATION</w:t>
            </w: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880" w:type="dxa"/>
            <w:vAlign w:val="bottom"/>
            <w:vMerge w:val="continue"/>
          </w:tcPr>
          <w:p>
            <w:pPr>
              <w:spacing w:after="0"/>
              <w:rPr>
                <w:sz w:val="14"/>
                <w:szCs w:val="14"/>
                <w:color w:val="auto"/>
              </w:rPr>
            </w:pPr>
          </w:p>
        </w:tc>
        <w:tc>
          <w:tcPr>
            <w:tcW w:w="9720" w:type="dxa"/>
            <w:vAlign w:val="bottom"/>
            <w:gridSpan w:val="22"/>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224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0000EE"/>
              </w:rPr>
              <w:t>Financial Statements:</w:t>
            </w:r>
          </w:p>
        </w:tc>
        <w:tc>
          <w:tcPr>
            <w:tcW w:w="7480" w:type="dxa"/>
            <w:vAlign w:val="bottom"/>
            <w:gridSpan w:val="10"/>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9720" w:type="dxa"/>
            <w:vAlign w:val="bottom"/>
            <w:gridSpan w:val="22"/>
          </w:tcPr>
          <w:p>
            <w:pPr>
              <w:spacing w:after="0"/>
              <w:rPr>
                <w:sz w:val="20"/>
                <w:szCs w:val="20"/>
                <w:color w:val="auto"/>
              </w:rPr>
            </w:pPr>
            <w:r>
              <w:rPr>
                <w:rFonts w:ascii="Arial" w:cs="Arial" w:eastAsia="Arial" w:hAnsi="Arial"/>
                <w:sz w:val="18"/>
                <w:szCs w:val="18"/>
                <w:color w:val="auto"/>
                <w:w w:val="93"/>
              </w:rPr>
              <w:t xml:space="preserve">(a)  </w:t>
            </w:r>
            <w:r>
              <w:rPr>
                <w:rFonts w:ascii="Arial" w:cs="Arial" w:eastAsia="Arial" w:hAnsi="Arial"/>
                <w:sz w:val="18"/>
                <w:szCs w:val="18"/>
                <w:color w:val="0000EE"/>
                <w:w w:val="93"/>
              </w:rPr>
              <w:t>Condensed Consolidated Statements of Operations (Unaudited) for the Three and Six Months Ended June 30, 2023 and 2022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9720" w:type="dxa"/>
            <w:vAlign w:val="bottom"/>
            <w:gridSpan w:val="22"/>
          </w:tcPr>
          <w:p>
            <w:pPr>
              <w:spacing w:after="0"/>
              <w:rPr>
                <w:sz w:val="20"/>
                <w:szCs w:val="20"/>
                <w:color w:val="auto"/>
              </w:rPr>
            </w:pPr>
            <w:r>
              <w:rPr>
                <w:rFonts w:ascii="Arial" w:cs="Arial" w:eastAsia="Arial" w:hAnsi="Arial"/>
                <w:sz w:val="18"/>
                <w:szCs w:val="18"/>
                <w:color w:val="auto"/>
                <w:w w:val="91"/>
              </w:rPr>
              <w:t xml:space="preserve">(b)  </w:t>
            </w:r>
            <w:r>
              <w:rPr>
                <w:rFonts w:ascii="Arial" w:cs="Arial" w:eastAsia="Arial" w:hAnsi="Arial"/>
                <w:sz w:val="18"/>
                <w:szCs w:val="18"/>
                <w:color w:val="0000EE"/>
                <w:w w:val="91"/>
              </w:rPr>
              <w:t>Condensed Consolidated Statements of Comprehensive Income (Unaudited) for the Three and Six Months Ended June 30, 2023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904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8"/>
                <w:szCs w:val="18"/>
                <w:color w:val="0000EE"/>
              </w:rPr>
              <w:t>and 2022</w:t>
            </w:r>
          </w:p>
        </w:tc>
        <w:tc>
          <w:tcPr>
            <w:tcW w:w="180" w:type="dxa"/>
            <w:vAlign w:val="bottom"/>
            <w:gridSpan w:val="2"/>
          </w:tcPr>
          <w:p>
            <w:pPr>
              <w:spacing w:after="0"/>
              <w:rPr>
                <w:sz w:val="17"/>
                <w:szCs w:val="17"/>
                <w:color w:val="auto"/>
              </w:rPr>
            </w:pP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9720" w:type="dxa"/>
            <w:vAlign w:val="bottom"/>
            <w:gridSpan w:val="22"/>
          </w:tcPr>
          <w:p>
            <w:pPr>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color w:val="0000EE"/>
              </w:rPr>
              <w:t>Condensed Consolidated Balance Sheets (Unaudited) as of June 30, 2023 and December 31, 2022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9720" w:type="dxa"/>
            <w:vAlign w:val="bottom"/>
            <w:gridSpan w:val="22"/>
          </w:tcPr>
          <w:p>
            <w:pPr>
              <w:spacing w:after="0"/>
              <w:rPr>
                <w:sz w:val="20"/>
                <w:szCs w:val="20"/>
                <w:color w:val="auto"/>
              </w:rPr>
            </w:pPr>
            <w:r>
              <w:rPr>
                <w:rFonts w:ascii="Arial" w:cs="Arial" w:eastAsia="Arial" w:hAnsi="Arial"/>
                <w:sz w:val="18"/>
                <w:szCs w:val="18"/>
                <w:color w:val="auto"/>
                <w:w w:val="90"/>
              </w:rPr>
              <w:t xml:space="preserve">(d)  </w:t>
            </w:r>
            <w:r>
              <w:rPr>
                <w:rFonts w:ascii="Arial" w:cs="Arial" w:eastAsia="Arial" w:hAnsi="Arial"/>
                <w:sz w:val="18"/>
                <w:szCs w:val="18"/>
                <w:color w:val="0000EE"/>
                <w:w w:val="90"/>
              </w:rPr>
              <w:t>Condensed Consolidated Statements of Shareholders’ Equity (Unaudited) for the Three and Six Months Ended June 30, 2023 and</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4"/>
              </w:rPr>
              <w:t>2022</w:t>
            </w:r>
          </w:p>
        </w:tc>
        <w:tc>
          <w:tcPr>
            <w:tcW w:w="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9720" w:type="dxa"/>
            <w:vAlign w:val="bottom"/>
            <w:gridSpan w:val="22"/>
          </w:tcPr>
          <w:p>
            <w:pPr>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color w:val="0000EE"/>
              </w:rPr>
              <w:t>Condensed Consolidated Statements of Cash Flows (Unaudited) for the Six Months Ended June 30, 2023 and 2022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9720" w:type="dxa"/>
            <w:vAlign w:val="bottom"/>
            <w:gridSpan w:val="22"/>
          </w:tcPr>
          <w:p>
            <w:pPr>
              <w:spacing w:after="0"/>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color w:val="0000EE"/>
              </w:rPr>
              <w:t>Notes to Condensed Consolidated Financial Statements (Unaudited)</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720" w:type="dxa"/>
            <w:vAlign w:val="bottom"/>
            <w:gridSpan w:val="22"/>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4"/>
          </w:tcPr>
          <w:p>
            <w:pPr>
              <w:spacing w:after="0"/>
              <w:rPr>
                <w:sz w:val="20"/>
                <w:szCs w:val="20"/>
                <w:color w:val="auto"/>
              </w:rPr>
            </w:pPr>
            <w:r>
              <w:rPr>
                <w:rFonts w:ascii="Arial" w:cs="Arial" w:eastAsia="Arial" w:hAnsi="Arial"/>
                <w:sz w:val="18"/>
                <w:szCs w:val="18"/>
                <w:color w:val="0000EE"/>
                <w:w w:val="92"/>
              </w:rPr>
              <w:t>Quantitative and Qualitative Disclosures About Market Risk</w:t>
            </w:r>
          </w:p>
        </w:tc>
        <w:tc>
          <w:tcPr>
            <w:tcW w:w="2080" w:type="dxa"/>
            <w:vAlign w:val="bottom"/>
            <w:tcBorders>
              <w:top w:val="single" w:sz="8" w:color="0000EE"/>
            </w:tcBorders>
            <w:gridSpan w:val="2"/>
          </w:tcPr>
          <w:p>
            <w:pPr>
              <w:spacing w:after="0"/>
              <w:rPr>
                <w:sz w:val="24"/>
                <w:szCs w:val="24"/>
                <w:color w:val="auto"/>
              </w:rPr>
            </w:pPr>
          </w:p>
        </w:tc>
        <w:tc>
          <w:tcPr>
            <w:tcW w:w="3280" w:type="dxa"/>
            <w:vAlign w:val="bottom"/>
            <w:gridSpan w:val="6"/>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720" w:type="dxa"/>
            <w:vAlign w:val="bottom"/>
            <w:gridSpan w:val="22"/>
          </w:tcPr>
          <w:p>
            <w:pPr>
              <w:spacing w:after="0"/>
              <w:rPr>
                <w:sz w:val="20"/>
                <w:szCs w:val="20"/>
                <w:color w:val="auto"/>
              </w:rPr>
            </w:pPr>
            <w:r>
              <w:rPr>
                <w:rFonts w:ascii="Arial" w:cs="Arial" w:eastAsia="Arial" w:hAnsi="Arial"/>
                <w:sz w:val="18"/>
                <w:szCs w:val="18"/>
                <w:color w:val="0000EE"/>
              </w:rPr>
              <w:t>Controls and Procedures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380" w:type="dxa"/>
            <w:vAlign w:val="bottom"/>
            <w:gridSpan w:val="9"/>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PART II</w:t>
            </w:r>
          </w:p>
        </w:tc>
        <w:tc>
          <w:tcPr>
            <w:tcW w:w="18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5"/>
              </w:rPr>
              <w:t>OTHER INFORMATION</w:t>
            </w:r>
          </w:p>
        </w:tc>
        <w:tc>
          <w:tcPr>
            <w:tcW w:w="7840" w:type="dxa"/>
            <w:vAlign w:val="bottom"/>
            <w:gridSpan w:val="11"/>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720" w:type="dxa"/>
            <w:vAlign w:val="bottom"/>
            <w:gridSpan w:val="22"/>
          </w:tcPr>
          <w:p>
            <w:pPr>
              <w:spacing w:after="0"/>
              <w:rPr>
                <w:sz w:val="20"/>
                <w:szCs w:val="20"/>
                <w:color w:val="auto"/>
              </w:rPr>
            </w:pPr>
            <w:r>
              <w:rPr>
                <w:rFonts w:ascii="Arial" w:cs="Arial" w:eastAsia="Arial" w:hAnsi="Arial"/>
                <w:sz w:val="18"/>
                <w:szCs w:val="18"/>
                <w:color w:val="0000EE"/>
              </w:rPr>
              <w:t>Legal Proceedings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87"/>
              </w:rPr>
              <w:t>Risk Factors</w:t>
            </w:r>
          </w:p>
        </w:tc>
        <w:tc>
          <w:tcPr>
            <w:tcW w:w="420" w:type="dxa"/>
            <w:vAlign w:val="bottom"/>
            <w:tcBorders>
              <w:top w:val="single" w:sz="8" w:color="0000EE"/>
            </w:tcBorders>
            <w:gridSpan w:val="3"/>
          </w:tcPr>
          <w:p>
            <w:pPr>
              <w:spacing w:after="0"/>
              <w:rPr>
                <w:sz w:val="24"/>
                <w:szCs w:val="24"/>
                <w:color w:val="auto"/>
              </w:rPr>
            </w:pPr>
          </w:p>
        </w:tc>
        <w:tc>
          <w:tcPr>
            <w:tcW w:w="8400" w:type="dxa"/>
            <w:vAlign w:val="bottom"/>
            <w:gridSpan w:val="14"/>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720" w:type="dxa"/>
            <w:vAlign w:val="bottom"/>
            <w:gridSpan w:val="22"/>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434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0000EE"/>
              </w:rPr>
              <w:t>Other Information</w:t>
            </w:r>
          </w:p>
        </w:tc>
        <w:tc>
          <w:tcPr>
            <w:tcW w:w="5380" w:type="dxa"/>
            <w:vAlign w:val="bottom"/>
            <w:gridSpan w:val="9"/>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1"/>
              </w:rPr>
              <w:t>Exhibits</w:t>
            </w:r>
          </w:p>
        </w:tc>
        <w:tc>
          <w:tcPr>
            <w:tcW w:w="700" w:type="dxa"/>
            <w:vAlign w:val="bottom"/>
            <w:tcBorders>
              <w:top w:val="single" w:sz="8" w:color="0000EE"/>
            </w:tcBorders>
            <w:gridSpan w:val="4"/>
          </w:tcPr>
          <w:p>
            <w:pPr>
              <w:spacing w:after="0"/>
              <w:rPr>
                <w:sz w:val="24"/>
                <w:szCs w:val="24"/>
                <w:color w:val="auto"/>
              </w:rPr>
            </w:pPr>
          </w:p>
        </w:tc>
        <w:tc>
          <w:tcPr>
            <w:tcW w:w="8420" w:type="dxa"/>
            <w:vAlign w:val="bottom"/>
            <w:gridSpan w:val="15"/>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11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5"/>
              </w:rPr>
              <w:t>SIGNATURES</w:t>
            </w:r>
          </w:p>
        </w:tc>
        <w:tc>
          <w:tcPr>
            <w:tcW w:w="8560" w:type="dxa"/>
            <w:vAlign w:val="bottom"/>
            <w:gridSpan w:val="16"/>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85"/>
        </w:trPr>
        <w:tc>
          <w:tcPr>
            <w:tcW w:w="880" w:type="dxa"/>
            <w:vAlign w:val="bottom"/>
          </w:tcPr>
          <w:p>
            <w:pPr>
              <w:spacing w:after="0"/>
              <w:rPr>
                <w:sz w:val="24"/>
                <w:szCs w:val="24"/>
                <w:color w:val="auto"/>
              </w:rPr>
            </w:pPr>
          </w:p>
        </w:tc>
        <w:tc>
          <w:tcPr>
            <w:tcW w:w="5240" w:type="dxa"/>
            <w:vAlign w:val="bottom"/>
            <w:gridSpan w:val="15"/>
          </w:tcPr>
          <w:p>
            <w:pPr>
              <w:ind w:left="4580"/>
              <w:spacing w:after="0"/>
              <w:rPr>
                <w:sz w:val="20"/>
                <w:szCs w:val="20"/>
                <w:color w:val="auto"/>
              </w:rPr>
            </w:pPr>
            <w:r>
              <w:rPr>
                <w:rFonts w:ascii="Arial" w:cs="Arial" w:eastAsia="Arial" w:hAnsi="Arial"/>
                <w:sz w:val="18"/>
                <w:szCs w:val="18"/>
                <w:color w:val="auto"/>
              </w:rPr>
              <w:t>2</w:t>
            </w: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702"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MASTECH DIGITAL,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60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4"/>
                <w:szCs w:val="14"/>
                <w:color w:val="auto"/>
              </w:rPr>
            </w:pPr>
          </w:p>
        </w:tc>
        <w:tc>
          <w:tcPr>
            <w:tcW w:w="15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7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5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56"/>
        </w:trPr>
        <w:tc>
          <w:tcPr>
            <w:tcW w:w="77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52,204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62,117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107,267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121,872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38,560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45,371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21"/>
              <w:spacing w:after="0"/>
              <w:rPr>
                <w:sz w:val="20"/>
                <w:szCs w:val="20"/>
                <w:color w:val="auto"/>
              </w:rPr>
            </w:pPr>
            <w:r>
              <w:rPr>
                <w:rFonts w:ascii="Arial" w:cs="Arial" w:eastAsia="Arial" w:hAnsi="Arial"/>
                <w:sz w:val="18"/>
                <w:szCs w:val="18"/>
                <w:color w:val="auto"/>
              </w:rPr>
              <w:t>80,141</w:t>
            </w: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89,194</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13,644</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16,746</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27,126</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13,372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13,198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26,322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25,823</w:t>
            </w:r>
          </w:p>
        </w:tc>
        <w:tc>
          <w:tcPr>
            <w:tcW w:w="0" w:type="dxa"/>
            <w:vAlign w:val="bottom"/>
          </w:tcPr>
          <w:p>
            <w:pPr>
              <w:spacing w:after="0"/>
              <w:rPr>
                <w:sz w:val="1"/>
                <w:szCs w:val="1"/>
                <w:color w:val="auto"/>
              </w:rPr>
            </w:pPr>
          </w:p>
        </w:tc>
      </w:tr>
      <w:tr>
        <w:trPr>
          <w:trHeight w:val="223"/>
        </w:trPr>
        <w:tc>
          <w:tcPr>
            <w:tcW w:w="7740" w:type="dxa"/>
            <w:vAlign w:val="bottom"/>
          </w:tcPr>
          <w:p>
            <w:pPr>
              <w:ind w:left="360"/>
              <w:spacing w:after="0"/>
              <w:rPr>
                <w:sz w:val="20"/>
                <w:szCs w:val="20"/>
                <w:color w:val="auto"/>
              </w:rPr>
            </w:pPr>
            <w:r>
              <w:rPr>
                <w:rFonts w:ascii="Arial" w:cs="Arial" w:eastAsia="Arial" w:hAnsi="Arial"/>
                <w:sz w:val="18"/>
                <w:szCs w:val="18"/>
                <w:color w:val="auto"/>
              </w:rPr>
              <w:t>Employment-related claim, net of recoveries</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3,100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21"/>
              <w:spacing w:after="0"/>
              <w:rPr>
                <w:sz w:val="20"/>
                <w:szCs w:val="20"/>
                <w:color w:val="auto"/>
              </w:rPr>
            </w:pPr>
            <w:r>
              <w:rPr>
                <w:rFonts w:ascii="Arial" w:cs="Arial" w:eastAsia="Arial" w:hAnsi="Arial"/>
                <w:sz w:val="18"/>
                <w:szCs w:val="18"/>
                <w:color w:val="auto"/>
              </w:rPr>
              <w:t>3,100</w:t>
            </w:r>
          </w:p>
        </w:tc>
        <w:tc>
          <w:tcPr>
            <w:tcW w:w="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Total selling, general and administrative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16,472</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13,198</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29,422</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360"/>
              <w:spacing w:after="0"/>
              <w:rPr>
                <w:sz w:val="20"/>
                <w:szCs w:val="20"/>
                <w:color w:val="auto"/>
              </w:rPr>
            </w:pPr>
            <w:r>
              <w:rPr>
                <w:rFonts w:ascii="Arial" w:cs="Arial" w:eastAsia="Arial" w:hAnsi="Arial"/>
                <w:sz w:val="18"/>
                <w:szCs w:val="18"/>
                <w:color w:val="auto"/>
              </w:rPr>
              <w:t>Income (loss) from operations</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4"/>
              </w:rPr>
              <w:t>(2,828)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3,548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(2,296)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9"/>
                <w:szCs w:val="19"/>
                <w:color w:val="auto"/>
              </w:rPr>
            </w:pPr>
          </w:p>
        </w:tc>
        <w:tc>
          <w:tcPr>
            <w:tcW w:w="700" w:type="dxa"/>
            <w:vAlign w:val="bottom"/>
            <w:gridSpan w:val="3"/>
          </w:tcPr>
          <w:p>
            <w:pPr>
              <w:jc w:val="right"/>
              <w:ind w:right="10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(2,778)</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3,616</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(2,299)</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9"/>
                <w:szCs w:val="19"/>
                <w:color w:val="auto"/>
              </w:rPr>
            </w:pPr>
          </w:p>
        </w:tc>
        <w:tc>
          <w:tcPr>
            <w:tcW w:w="700" w:type="dxa"/>
            <w:vAlign w:val="bottom"/>
            <w:gridSpan w:val="3"/>
          </w:tcPr>
          <w:p>
            <w:pPr>
              <w:jc w:val="right"/>
              <w:ind w:right="101"/>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1,180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(2,173</w:t>
            </w:r>
          </w:p>
        </w:tc>
        <w:tc>
          <w:tcPr>
            <w:tcW w:w="200" w:type="dxa"/>
            <w:vAlign w:val="bottom"/>
            <w:gridSpan w:val="2"/>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auto"/>
              </w:rPr>
              <w:t>Earnings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774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jc w:val="right"/>
              <w:ind w:right="101"/>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11,620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11,607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21"/>
              <w:spacing w:after="0"/>
              <w:rPr>
                <w:sz w:val="20"/>
                <w:szCs w:val="20"/>
                <w:color w:val="auto"/>
              </w:rPr>
            </w:pPr>
            <w:r>
              <w:rPr>
                <w:rFonts w:ascii="Arial" w:cs="Arial" w:eastAsia="Arial" w:hAnsi="Arial"/>
                <w:sz w:val="18"/>
                <w:szCs w:val="18"/>
                <w:color w:val="auto"/>
              </w:rPr>
              <w:t>11,629</w:t>
            </w: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11,558</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11,620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12,110</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11,629</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702"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MASTECH DIGITAL,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50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38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5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3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6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14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 (2,173)</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$ 2,436</w:t>
            </w:r>
          </w:p>
        </w:tc>
        <w:tc>
          <w:tcPr>
            <w:tcW w:w="78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$(1,912)</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$4,768</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2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(319)</w:t>
            </w:r>
          </w:p>
        </w:tc>
        <w:tc>
          <w:tcPr>
            <w:tcW w:w="78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(7)</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Total other comprehensive (loss), net of taxes</w:t>
            </w:r>
          </w:p>
        </w:tc>
        <w:tc>
          <w:tcPr>
            <w:tcW w:w="2380" w:type="dxa"/>
            <w:vAlign w:val="bottom"/>
            <w:vMerge w:val="restart"/>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80" w:type="dxa"/>
            <w:vAlign w:val="bottom"/>
            <w:vMerge w:val="continue"/>
          </w:tcPr>
          <w:p>
            <w:pPr>
              <w:spacing w:after="0"/>
              <w:rPr>
                <w:sz w:val="20"/>
                <w:szCs w:val="20"/>
                <w:color w:val="auto"/>
              </w:rPr>
            </w:pPr>
          </w:p>
        </w:tc>
        <w:tc>
          <w:tcPr>
            <w:tcW w:w="2380" w:type="dxa"/>
            <w:vAlign w:val="bottom"/>
            <w:vMerge w:val="continue"/>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700" w:type="dxa"/>
            <w:vAlign w:val="bottom"/>
            <w:gridSpan w:val="2"/>
          </w:tcPr>
          <w:p>
            <w:pPr>
              <w:jc w:val="right"/>
              <w:ind w:right="1"/>
              <w:spacing w:after="0"/>
              <w:rPr>
                <w:sz w:val="20"/>
                <w:szCs w:val="20"/>
                <w:color w:val="auto"/>
              </w:rPr>
            </w:pPr>
            <w:r>
              <w:rPr>
                <w:rFonts w:ascii="Arial" w:cs="Arial" w:eastAsia="Arial" w:hAnsi="Arial"/>
                <w:sz w:val="18"/>
                <w:szCs w:val="18"/>
                <w:color w:val="auto"/>
              </w:rPr>
              <w:t>(7)</w:t>
            </w:r>
          </w:p>
        </w:tc>
        <w:tc>
          <w:tcPr>
            <w:tcW w:w="80" w:type="dxa"/>
            <w:vAlign w:val="bottom"/>
            <w:vMerge w:val="continue"/>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(466)</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2380" w:type="dxa"/>
            <w:vAlign w:val="bottom"/>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 (2,185</w:t>
            </w:r>
          </w:p>
        </w:tc>
        <w:tc>
          <w:tcPr>
            <w:tcW w:w="120" w:type="dxa"/>
            <w:vAlign w:val="bottom"/>
            <w:shd w:val="clear" w:color="auto" w:fill="CCEEFF"/>
          </w:tcPr>
          <w:p>
            <w:pPr>
              <w:jc w:val="right"/>
              <w:ind w:right="41"/>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$ 2,117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(1,919</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4,302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702"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MASTECH DIGITAL, INC.</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6"/>
              </w:rPr>
              <w:t>June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7,057</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Accounts receivable, net of allowance for uncollectible accounts of $444 in 2023 and $444 in 2022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22,952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33,603</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 receivables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8,719</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Insurance recovery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2,200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and other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3,795</w:t>
            </w:r>
          </w:p>
        </w:tc>
        <w:tc>
          <w:tcPr>
            <w:tcW w:w="0" w:type="dxa"/>
            <w:vAlign w:val="bottom"/>
          </w:tcPr>
          <w:p>
            <w:pPr>
              <w:spacing w:after="0"/>
              <w:rPr>
                <w:sz w:val="1"/>
                <w:szCs w:val="1"/>
                <w:color w:val="auto"/>
              </w:rPr>
            </w:pPr>
          </w:p>
        </w:tc>
      </w:tr>
      <w:tr>
        <w:trPr>
          <w:trHeight w:val="223"/>
        </w:trPr>
        <w:tc>
          <w:tcPr>
            <w:tcW w:w="91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58,291</w:t>
            </w: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Equipment, enterprise software, and leasehold improvements, at cost: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Equipment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Enterprise software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4,185</w:t>
            </w:r>
          </w:p>
        </w:tc>
        <w:tc>
          <w:tcPr>
            <w:tcW w:w="0" w:type="dxa"/>
            <w:vAlign w:val="bottom"/>
          </w:tcPr>
          <w:p>
            <w:pPr>
              <w:spacing w:after="0"/>
              <w:rPr>
                <w:sz w:val="1"/>
                <w:szCs w:val="1"/>
                <w:color w:val="auto"/>
              </w:rPr>
            </w:pPr>
          </w:p>
        </w:tc>
      </w:tr>
      <w:tr>
        <w:trPr>
          <w:trHeight w:val="223"/>
        </w:trPr>
        <w:tc>
          <w:tcPr>
            <w:tcW w:w="9100" w:type="dxa"/>
            <w:vAlign w:val="bottom"/>
          </w:tcPr>
          <w:p>
            <w:pPr>
              <w:ind w:left="360"/>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7,747</w:t>
            </w: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00" w:type="dxa"/>
            <w:vAlign w:val="bottom"/>
          </w:tcPr>
          <w:p>
            <w:pPr>
              <w:ind w:left="360"/>
              <w:spacing w:after="0"/>
              <w:rPr>
                <w:sz w:val="20"/>
                <w:szCs w:val="20"/>
                <w:color w:val="auto"/>
              </w:rPr>
            </w:pPr>
            <w:r>
              <w:rPr>
                <w:rFonts w:ascii="Arial" w:cs="Arial" w:eastAsia="Arial" w:hAnsi="Arial"/>
                <w:sz w:val="18"/>
                <w:szCs w:val="18"/>
                <w:color w:val="auto"/>
              </w:rPr>
              <w:t>Less – accumulated depreciation and amortization</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(5,604)</w:t>
            </w: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(5,042)</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equipment, enterprise software, and leasehold improvements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Operating lease right-of-use assets,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3,118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Non-current deposits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Goodwill, net of impairment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32,510</w:t>
            </w:r>
          </w:p>
        </w:tc>
        <w:tc>
          <w:tcPr>
            <w:tcW w:w="0" w:type="dxa"/>
            <w:vAlign w:val="bottom"/>
          </w:tcPr>
          <w:p>
            <w:pPr>
              <w:spacing w:after="0"/>
              <w:rPr>
                <w:sz w:val="1"/>
                <w:szCs w:val="1"/>
                <w:color w:val="auto"/>
              </w:rPr>
            </w:pPr>
          </w:p>
        </w:tc>
      </w:tr>
      <w:tr>
        <w:trPr>
          <w:trHeight w:val="223"/>
        </w:trPr>
        <w:tc>
          <w:tcPr>
            <w:tcW w:w="9100" w:type="dxa"/>
            <w:vAlign w:val="bottom"/>
          </w:tcPr>
          <w:p>
            <w:pPr>
              <w:spacing w:after="0"/>
              <w:rPr>
                <w:sz w:val="20"/>
                <w:szCs w:val="20"/>
                <w:color w:val="auto"/>
              </w:rPr>
            </w:pPr>
            <w:r>
              <w:rPr>
                <w:rFonts w:ascii="Arial" w:cs="Arial" w:eastAsia="Arial" w:hAnsi="Arial"/>
                <w:sz w:val="18"/>
                <w:szCs w:val="18"/>
                <w:color w:val="auto"/>
              </w:rPr>
              <w:t>Intangible assets, net of amortization</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14,387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15,773</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111,217</w:t>
            </w: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108,879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4,475</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Accrued payroll and related costs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9,949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11,085</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operating lease liability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Employment-related claim liability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6,000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accrued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23"/>
        </w:trPr>
        <w:tc>
          <w:tcPr>
            <w:tcW w:w="910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439</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23,478</w:t>
            </w: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00" w:type="dxa"/>
            <w:vAlign w:val="bottom"/>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operating lease liability, less current portion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Long-term accrued income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23"/>
        </w:trPr>
        <w:tc>
          <w:tcPr>
            <w:tcW w:w="910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25,878</w:t>
            </w: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 (Note 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no par value; 20,000,000 shares authorized; none outstanding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100" w:type="dxa"/>
            <w:vAlign w:val="bottom"/>
          </w:tcPr>
          <w:p>
            <w:pPr>
              <w:ind w:left="360"/>
              <w:spacing w:after="0" w:line="201" w:lineRule="exact"/>
              <w:rPr>
                <w:sz w:val="20"/>
                <w:szCs w:val="20"/>
                <w:color w:val="auto"/>
              </w:rPr>
            </w:pPr>
            <w:r>
              <w:rPr>
                <w:rFonts w:ascii="Arial" w:cs="Arial" w:eastAsia="Arial" w:hAnsi="Arial"/>
                <w:sz w:val="18"/>
                <w:szCs w:val="18"/>
                <w:color w:val="auto"/>
                <w:w w:val="91"/>
              </w:rPr>
              <w:t>Common Stock, par value $.01; 250,000,000 shares authorized and 13,304,812 shares issued as of June 30, 2023 and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100" w:type="dxa"/>
            <w:vAlign w:val="bottom"/>
          </w:tcPr>
          <w:p>
            <w:pPr>
              <w:ind w:left="540"/>
              <w:spacing w:after="0"/>
              <w:rPr>
                <w:sz w:val="20"/>
                <w:szCs w:val="20"/>
                <w:color w:val="auto"/>
              </w:rPr>
            </w:pPr>
            <w:r>
              <w:rPr>
                <w:rFonts w:ascii="Arial" w:cs="Arial" w:eastAsia="Arial" w:hAnsi="Arial"/>
                <w:sz w:val="18"/>
                <w:szCs w:val="18"/>
                <w:color w:val="auto"/>
              </w:rPr>
              <w:t>13,269,118 shares issued as of December 31, 2022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paid-in-capital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32,059</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57,641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59,553</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23"/>
        </w:trPr>
        <w:tc>
          <w:tcPr>
            <w:tcW w:w="9100" w:type="dxa"/>
            <w:vAlign w:val="bottom"/>
          </w:tcPr>
          <w:p>
            <w:pPr>
              <w:ind w:left="360"/>
              <w:spacing w:after="0"/>
              <w:rPr>
                <w:sz w:val="20"/>
                <w:szCs w:val="20"/>
                <w:color w:val="auto"/>
              </w:rPr>
            </w:pPr>
            <w:r>
              <w:rPr>
                <w:rFonts w:ascii="Arial" w:cs="Arial" w:eastAsia="Arial" w:hAnsi="Arial"/>
                <w:sz w:val="18"/>
                <w:szCs w:val="18"/>
                <w:color w:val="auto"/>
                <w:w w:val="99"/>
              </w:rPr>
              <w:t>Treasury stock, at cost; 1,708,781 shares as of June 30, 2023 and 1,646,420 shares as of December 31, 2022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(4,759)</w:t>
            </w: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(4,187)</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85,339</w:t>
            </w: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00" w:type="dxa"/>
            <w:vAlign w:val="bottom"/>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111,217</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108,879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140"/>
          </w:cols>
          <w:pgMar w:left="320" w:top="702" w:right="439" w:bottom="1440" w:gutter="0" w:footer="0" w:header="0"/>
        </w:sectPr>
      </w:pP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140"/>
          </w:cols>
          <w:pgMar w:left="320" w:top="702" w:right="4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MASTECH DIGITAL,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Additional</w:t>
            </w:r>
          </w:p>
        </w:tc>
        <w:tc>
          <w:tcPr>
            <w:tcW w:w="10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740" w:type="dxa"/>
            <w:vAlign w:val="bottom"/>
            <w:gridSpan w:val="6"/>
            <w:vMerge w:val="restart"/>
          </w:tcPr>
          <w:p>
            <w:pPr>
              <w:ind w:left="1100"/>
              <w:spacing w:after="0"/>
              <w:rPr>
                <w:sz w:val="20"/>
                <w:szCs w:val="20"/>
                <w:color w:val="auto"/>
              </w:rPr>
            </w:pPr>
            <w:r>
              <w:rPr>
                <w:rFonts w:ascii="Arial" w:cs="Arial" w:eastAsia="Arial" w:hAnsi="Arial"/>
                <w:sz w:val="14"/>
                <w:szCs w:val="14"/>
                <w:b w:val="1"/>
                <w:bCs w:val="1"/>
                <w:color w:val="auto"/>
              </w:rPr>
              <w:t>Common</w:t>
            </w:r>
          </w:p>
        </w:tc>
        <w:tc>
          <w:tcPr>
            <w:tcW w:w="1060" w:type="dxa"/>
            <w:vAlign w:val="bottom"/>
            <w:gridSpan w:val="5"/>
            <w:vMerge w:val="continue"/>
          </w:tcPr>
          <w:p>
            <w:pPr>
              <w:spacing w:after="0"/>
              <w:rPr>
                <w:sz w:val="12"/>
                <w:szCs w:val="12"/>
                <w:color w:val="auto"/>
              </w:rPr>
            </w:pPr>
          </w:p>
        </w:tc>
        <w:tc>
          <w:tcPr>
            <w:tcW w:w="1000" w:type="dxa"/>
            <w:vAlign w:val="bottom"/>
            <w:gridSpan w:val="5"/>
            <w:vMerge w:val="continue"/>
          </w:tcPr>
          <w:p>
            <w:pPr>
              <w:spacing w:after="0"/>
              <w:rPr>
                <w:sz w:val="12"/>
                <w:szCs w:val="12"/>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740" w:type="dxa"/>
            <w:vAlign w:val="bottom"/>
            <w:gridSpan w:val="6"/>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92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Retained</w:t>
            </w:r>
          </w:p>
        </w:tc>
        <w:tc>
          <w:tcPr>
            <w:tcW w:w="860" w:type="dxa"/>
            <w:vAlign w:val="bottom"/>
            <w:gridSpan w:val="3"/>
            <w:vMerge w:val="continue"/>
          </w:tcPr>
          <w:p>
            <w:pPr>
              <w:spacing w:after="0"/>
              <w:rPr>
                <w:sz w:val="12"/>
                <w:szCs w:val="12"/>
                <w:color w:val="auto"/>
              </w:rPr>
            </w:pPr>
          </w:p>
        </w:tc>
        <w:tc>
          <w:tcPr>
            <w:tcW w:w="136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rPr>
              <w:t>Comprehensive</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Stock</w:t>
            </w:r>
          </w:p>
        </w:tc>
        <w:tc>
          <w:tcPr>
            <w:tcW w:w="6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Capital</w:t>
            </w:r>
          </w:p>
        </w:tc>
        <w:tc>
          <w:tcPr>
            <w:tcW w:w="24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4"/>
                <w:szCs w:val="14"/>
                <w:b w:val="1"/>
                <w:bCs w:val="1"/>
                <w:color w:val="auto"/>
              </w:rPr>
              <w:t>Earnings</w:t>
            </w:r>
          </w:p>
        </w:tc>
        <w:tc>
          <w:tcPr>
            <w:tcW w:w="1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Stock</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Balances, December 31, 2022</w:t>
            </w:r>
          </w:p>
        </w:tc>
        <w:tc>
          <w:tcPr>
            <w:tcW w:w="126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133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w w:val="99"/>
              </w:rPr>
              <w:t>$ 32,059</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59,553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$(4,187)</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86,003</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w w:val="86"/>
              </w:rPr>
              <w:t>261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gain, net of taxes</w:t>
            </w: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4"/>
          </w:tcPr>
          <w:p>
            <w:pPr>
              <w:ind w:left="560"/>
              <w:spacing w:after="0"/>
              <w:rPr>
                <w:sz w:val="20"/>
                <w:szCs w:val="20"/>
                <w:color w:val="auto"/>
              </w:rPr>
            </w:pPr>
            <w:r>
              <w:rPr>
                <w:rFonts w:ascii="Arial" w:cs="Arial" w:eastAsia="Arial" w:hAnsi="Arial"/>
                <w:sz w:val="18"/>
                <w:szCs w:val="18"/>
                <w:color w:val="auto"/>
              </w:rPr>
              <w:t>835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Balances, March 31, 2023</w:t>
            </w:r>
          </w:p>
        </w:tc>
        <w:tc>
          <w:tcPr>
            <w:tcW w:w="11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6"/>
              </w:rPr>
              <w:t>133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8"/>
              </w:rPr>
              <w:t>$ 32,894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59,814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(4,187</w:t>
            </w:r>
          </w:p>
        </w:tc>
        <w:tc>
          <w:tcPr>
            <w:tcW w:w="1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Employee common stock purchases</w:t>
            </w: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ind w:left="56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Other comprehensive (loss), net of taxes</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ind w:left="560"/>
              <w:spacing w:after="0"/>
              <w:rPr>
                <w:sz w:val="20"/>
                <w:szCs w:val="20"/>
                <w:color w:val="auto"/>
              </w:rPr>
            </w:pPr>
            <w:r>
              <w:rPr>
                <w:rFonts w:ascii="Arial" w:cs="Arial" w:eastAsia="Arial" w:hAnsi="Arial"/>
                <w:sz w:val="18"/>
                <w:szCs w:val="18"/>
                <w:color w:val="auto"/>
              </w:rPr>
              <w:t>842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Shares repurchased</w:t>
            </w: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1"/>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Balances, June 30, 2023</w:t>
            </w:r>
          </w:p>
        </w:tc>
        <w:tc>
          <w:tcPr>
            <w:tcW w:w="11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6"/>
              </w:rPr>
              <w:t>133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8"/>
              </w:rPr>
              <w:t>$ 33,886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57,641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(4,759</w:t>
            </w:r>
          </w:p>
        </w:tc>
        <w:tc>
          <w:tcPr>
            <w:tcW w:w="1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00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24"/>
                <w:szCs w:val="24"/>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00" w:type="dxa"/>
            <w:vAlign w:val="bottom"/>
            <w:gridSpan w:val="5"/>
            <w:vMerge w:val="continue"/>
          </w:tcPr>
          <w:p>
            <w:pPr>
              <w:spacing w:after="0"/>
              <w:rPr>
                <w:sz w:val="12"/>
                <w:szCs w:val="12"/>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860" w:type="dxa"/>
            <w:vAlign w:val="bottom"/>
            <w:gridSpan w:val="3"/>
            <w:vMerge w:val="continue"/>
          </w:tcPr>
          <w:p>
            <w:pPr>
              <w:spacing w:after="0"/>
              <w:rPr>
                <w:sz w:val="12"/>
                <w:szCs w:val="12"/>
                <w:color w:val="auto"/>
              </w:rPr>
            </w:pPr>
          </w:p>
        </w:tc>
        <w:tc>
          <w:tcPr>
            <w:tcW w:w="136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rPr>
              <w:t>Comprehensive</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Balances, December 31, 2021</w:t>
            </w:r>
          </w:p>
        </w:tc>
        <w:tc>
          <w:tcPr>
            <w:tcW w:w="126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w w:val="79"/>
              </w:rPr>
              <w:t>$</w:t>
            </w:r>
          </w:p>
        </w:tc>
        <w:tc>
          <w:tcPr>
            <w:tcW w:w="4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86"/>
              </w:rPr>
              <w:t>131</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$ 28,250</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50,841</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$(4,187)</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74,428</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taxes</w:t>
            </w: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4"/>
          </w:tcPr>
          <w:p>
            <w:pPr>
              <w:ind w:left="620"/>
              <w:spacing w:after="0"/>
              <w:rPr>
                <w:sz w:val="20"/>
                <w:szCs w:val="20"/>
                <w:color w:val="auto"/>
              </w:rPr>
            </w:pPr>
            <w:r>
              <w:rPr>
                <w:rFonts w:ascii="Arial" w:cs="Arial" w:eastAsia="Arial" w:hAnsi="Arial"/>
                <w:sz w:val="18"/>
                <w:szCs w:val="18"/>
                <w:color w:val="auto"/>
                <w:w w:val="86"/>
              </w:rPr>
              <w:t>526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79"/>
              </w:rPr>
              <w:t>2</w:t>
            </w:r>
          </w:p>
        </w:tc>
        <w:tc>
          <w:tcPr>
            <w:tcW w:w="90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w w:val="86"/>
              </w:rPr>
              <w:t>891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Balances, March 31, 2022</w:t>
            </w:r>
          </w:p>
        </w:tc>
        <w:tc>
          <w:tcPr>
            <w:tcW w:w="116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8"/>
                <w:szCs w:val="18"/>
                <w:color w:val="auto"/>
                <w:w w:val="79"/>
              </w:rPr>
              <w:t>133</w:t>
            </w:r>
          </w:p>
        </w:tc>
        <w:tc>
          <w:tcPr>
            <w:tcW w:w="2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6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8"/>
              </w:rPr>
              <w:t>$ 29,667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53,173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(4,187</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Employee common stock purchases</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4"/>
          </w:tcPr>
          <w:p>
            <w:pPr>
              <w:ind w:left="620"/>
              <w:spacing w:after="0"/>
              <w:rPr>
                <w:sz w:val="20"/>
                <w:szCs w:val="20"/>
                <w:color w:val="auto"/>
              </w:rPr>
            </w:pPr>
            <w:r>
              <w:rPr>
                <w:rFonts w:ascii="Arial" w:cs="Arial" w:eastAsia="Arial" w:hAnsi="Arial"/>
                <w:sz w:val="18"/>
                <w:szCs w:val="18"/>
                <w:color w:val="auto"/>
                <w:w w:val="86"/>
              </w:rPr>
              <w:t>199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taxes</w:t>
            </w: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4"/>
          </w:tcPr>
          <w:p>
            <w:pPr>
              <w:ind w:left="620"/>
              <w:spacing w:after="0"/>
              <w:rPr>
                <w:sz w:val="20"/>
                <w:szCs w:val="20"/>
                <w:color w:val="auto"/>
              </w:rPr>
            </w:pPr>
            <w:r>
              <w:rPr>
                <w:rFonts w:ascii="Arial" w:cs="Arial" w:eastAsia="Arial" w:hAnsi="Arial"/>
                <w:sz w:val="18"/>
                <w:szCs w:val="18"/>
                <w:color w:val="auto"/>
                <w:w w:val="86"/>
              </w:rPr>
              <w:t>752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w w:val="86"/>
              </w:rPr>
              <w:t>430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Balances, June 30, 2022</w:t>
            </w:r>
          </w:p>
        </w:tc>
        <w:tc>
          <w:tcPr>
            <w:tcW w:w="116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8"/>
                <w:szCs w:val="18"/>
                <w:color w:val="auto"/>
                <w:w w:val="79"/>
              </w:rPr>
              <w:t>133</w:t>
            </w:r>
          </w:p>
        </w:tc>
        <w:tc>
          <w:tcPr>
            <w:tcW w:w="20" w:type="dxa"/>
            <w:vAlign w:val="bottom"/>
            <w:tcBorders>
              <w:bottom w:val="single" w:sz="8" w:color="auto"/>
            </w:tcBorders>
          </w:tcPr>
          <w:p>
            <w:pPr>
              <w:spacing w:after="0"/>
              <w:rPr>
                <w:sz w:val="19"/>
                <w:szCs w:val="19"/>
                <w:color w:val="auto"/>
              </w:rPr>
            </w:pPr>
          </w:p>
        </w:tc>
        <w:tc>
          <w:tcPr>
            <w:tcW w:w="240" w:type="dxa"/>
            <w:vAlign w:val="bottom"/>
            <w:gridSpan w:val="2"/>
          </w:tcPr>
          <w:p>
            <w:pPr>
              <w:spacing w:after="0"/>
              <w:rPr>
                <w:sz w:val="19"/>
                <w:szCs w:val="19"/>
                <w:color w:val="auto"/>
              </w:rPr>
            </w:pPr>
          </w:p>
        </w:tc>
        <w:tc>
          <w:tcPr>
            <w:tcW w:w="6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8"/>
              </w:rPr>
              <w:t>$ 31,048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55,609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(4,187</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702"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MASTECH DIGITAL,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440"/>
        <w:spacing w:after="0"/>
        <w:rPr>
          <w:sz w:val="20"/>
          <w:szCs w:val="20"/>
          <w:color w:val="auto"/>
        </w:rPr>
      </w:pPr>
      <w:r>
        <w:rPr>
          <w:rFonts w:ascii="Arial" w:cs="Arial" w:eastAsia="Arial" w:hAnsi="Arial"/>
          <w:sz w:val="14"/>
          <w:szCs w:val="14"/>
          <w:b w:val="1"/>
          <w:bCs w:val="1"/>
          <w:color w:val="auto"/>
        </w:rPr>
        <w:t>Six Months Ended</w:t>
      </w:r>
    </w:p>
    <w:p>
      <w:pPr>
        <w:jc w:val="center"/>
        <w:ind w:left="944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20" w:type="dxa"/>
        <w:tblCellMar>
          <w:top w:w="0" w:type="dxa"/>
          <w:left w:w="0" w:type="dxa"/>
          <w:bottom w:w="0" w:type="dxa"/>
          <w:right w:w="0" w:type="dxa"/>
        </w:tblCellMar>
      </w:tblPr>
      <w:tr>
        <w:trPr>
          <w:trHeight w:val="142"/>
        </w:trPr>
        <w:tc>
          <w:tcPr>
            <w:tcW w:w="8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30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2060" w:type="dxa"/>
            <w:vAlign w:val="bottom"/>
            <w:gridSpan w:val="4"/>
          </w:tcPr>
          <w:p>
            <w:pPr>
              <w:jc w:val="right"/>
              <w:ind w:right="160"/>
              <w:spacing w:after="0"/>
              <w:rPr>
                <w:sz w:val="20"/>
                <w:szCs w:val="20"/>
                <w:color w:val="auto"/>
              </w:rPr>
            </w:pPr>
            <w:r>
              <w:rPr>
                <w:rFonts w:ascii="Arial" w:cs="Arial" w:eastAsia="Arial" w:hAnsi="Arial"/>
                <w:sz w:val="18"/>
                <w:szCs w:val="18"/>
                <w:color w:val="auto"/>
              </w:rPr>
              <w:t>$ (1,912)</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$ 4,768</w:t>
            </w:r>
          </w:p>
        </w:tc>
      </w:tr>
      <w:tr>
        <w:trPr>
          <w:trHeight w:val="216"/>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(loss) to cash provided by (used in) operating activities:</w:t>
            </w: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30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860" w:type="dxa"/>
            <w:vAlign w:val="bottom"/>
            <w:gridSpan w:val="3"/>
          </w:tcPr>
          <w:p>
            <w:pPr>
              <w:jc w:val="right"/>
              <w:ind w:righ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2,128</w:t>
            </w:r>
          </w:p>
        </w:tc>
      </w:tr>
      <w:tr>
        <w:trPr>
          <w:trHeight w:val="216"/>
        </w:trPr>
        <w:tc>
          <w:tcPr>
            <w:tcW w:w="8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 amortization of deferred financing costs</w:t>
            </w: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r>
      <w:tr>
        <w:trPr>
          <w:trHeight w:val="216"/>
        </w:trPr>
        <w:tc>
          <w:tcPr>
            <w:tcW w:w="830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1860" w:type="dxa"/>
            <w:vAlign w:val="bottom"/>
            <w:gridSpan w:val="3"/>
          </w:tcPr>
          <w:p>
            <w:pPr>
              <w:jc w:val="right"/>
              <w:ind w:right="20"/>
              <w:spacing w:after="0"/>
              <w:rPr>
                <w:sz w:val="20"/>
                <w:szCs w:val="20"/>
                <w:color w:val="auto"/>
              </w:rPr>
            </w:pPr>
            <w:r>
              <w:rPr>
                <w:rFonts w:ascii="Arial" w:cs="Arial" w:eastAsia="Arial" w:hAnsi="Arial"/>
                <w:sz w:val="18"/>
                <w:szCs w:val="18"/>
                <w:color w:val="auto"/>
              </w:rPr>
              <w:t>1,677</w:t>
            </w:r>
          </w:p>
        </w:tc>
        <w:tc>
          <w:tcPr>
            <w:tcW w:w="2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1,278</w:t>
            </w:r>
          </w:p>
        </w:tc>
      </w:tr>
      <w:tr>
        <w:trPr>
          <w:trHeight w:val="216"/>
        </w:trPr>
        <w:tc>
          <w:tcPr>
            <w:tcW w:w="8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income taxes, net</w:t>
            </w:r>
          </w:p>
        </w:tc>
        <w:tc>
          <w:tcPr>
            <w:tcW w:w="20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(439)</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w:t>
            </w:r>
          </w:p>
        </w:tc>
      </w:tr>
      <w:tr>
        <w:trPr>
          <w:trHeight w:val="216"/>
        </w:trPr>
        <w:tc>
          <w:tcPr>
            <w:tcW w:w="8300" w:type="dxa"/>
            <w:vAlign w:val="bottom"/>
          </w:tcPr>
          <w:p>
            <w:pPr>
              <w:ind w:left="720"/>
              <w:spacing w:after="0"/>
              <w:rPr>
                <w:sz w:val="20"/>
                <w:szCs w:val="20"/>
                <w:color w:val="auto"/>
              </w:rPr>
            </w:pPr>
            <w:r>
              <w:rPr>
                <w:rFonts w:ascii="Arial" w:cs="Arial" w:eastAsia="Arial" w:hAnsi="Arial"/>
                <w:sz w:val="18"/>
                <w:szCs w:val="18"/>
                <w:color w:val="auto"/>
              </w:rPr>
              <w:t>Employment-related claim liability, net of recoveries</w:t>
            </w:r>
          </w:p>
        </w:tc>
        <w:tc>
          <w:tcPr>
            <w:tcW w:w="1860" w:type="dxa"/>
            <w:vAlign w:val="bottom"/>
            <w:gridSpan w:val="3"/>
          </w:tcPr>
          <w:p>
            <w:pPr>
              <w:jc w:val="right"/>
              <w:ind w:right="20"/>
              <w:spacing w:after="0"/>
              <w:rPr>
                <w:sz w:val="20"/>
                <w:szCs w:val="20"/>
                <w:color w:val="auto"/>
              </w:rPr>
            </w:pPr>
            <w:r>
              <w:rPr>
                <w:rFonts w:ascii="Arial" w:cs="Arial" w:eastAsia="Arial" w:hAnsi="Arial"/>
                <w:sz w:val="18"/>
                <w:szCs w:val="18"/>
                <w:color w:val="auto"/>
              </w:rPr>
              <w:t>3,100</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lease assets and liabilities, net</w:t>
            </w: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w:t>
            </w:r>
          </w:p>
        </w:tc>
      </w:tr>
      <w:tr>
        <w:trPr>
          <w:trHeight w:val="216"/>
        </w:trPr>
        <w:tc>
          <w:tcPr>
            <w:tcW w:w="8300" w:type="dxa"/>
            <w:vAlign w:val="bottom"/>
          </w:tcPr>
          <w:p>
            <w:pPr>
              <w:ind w:left="720"/>
              <w:spacing w:after="0"/>
              <w:rPr>
                <w:sz w:val="20"/>
                <w:szCs w:val="20"/>
                <w:color w:val="auto"/>
              </w:rPr>
            </w:pPr>
            <w:r>
              <w:rPr>
                <w:rFonts w:ascii="Arial" w:cs="Arial" w:eastAsia="Arial" w:hAnsi="Arial"/>
                <w:sz w:val="18"/>
                <w:szCs w:val="18"/>
                <w:color w:val="auto"/>
              </w:rPr>
              <w:t>Loss on disposition of fixed assets</w:t>
            </w:r>
          </w:p>
        </w:tc>
        <w:tc>
          <w:tcPr>
            <w:tcW w:w="186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Long term accrued income taxes</w:t>
            </w:r>
          </w:p>
        </w:tc>
        <w:tc>
          <w:tcPr>
            <w:tcW w:w="20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300" w:type="dxa"/>
            <w:vAlign w:val="bottom"/>
          </w:tcPr>
          <w:p>
            <w:pPr>
              <w:ind w:left="360"/>
              <w:spacing w:after="0"/>
              <w:rPr>
                <w:sz w:val="20"/>
                <w:szCs w:val="20"/>
                <w:color w:val="auto"/>
              </w:rPr>
            </w:pPr>
            <w:r>
              <w:rPr>
                <w:rFonts w:ascii="Arial" w:cs="Arial" w:eastAsia="Arial" w:hAnsi="Arial"/>
                <w:sz w:val="18"/>
                <w:szCs w:val="18"/>
                <w:color w:val="auto"/>
              </w:rPr>
              <w:t>Working capital items:</w:t>
            </w: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 and unbilled receivables</w:t>
            </w: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9,605</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(7,815)</w:t>
            </w:r>
          </w:p>
        </w:tc>
      </w:tr>
      <w:tr>
        <w:trPr>
          <w:trHeight w:val="216"/>
        </w:trPr>
        <w:tc>
          <w:tcPr>
            <w:tcW w:w="8300" w:type="dxa"/>
            <w:vAlign w:val="bottom"/>
          </w:tcPr>
          <w:p>
            <w:pPr>
              <w:ind w:left="720"/>
              <w:spacing w:after="0"/>
              <w:rPr>
                <w:sz w:val="20"/>
                <w:szCs w:val="20"/>
                <w:color w:val="auto"/>
              </w:rPr>
            </w:pPr>
            <w:r>
              <w:rPr>
                <w:rFonts w:ascii="Arial" w:cs="Arial" w:eastAsia="Arial" w:hAnsi="Arial"/>
                <w:sz w:val="18"/>
                <w:szCs w:val="18"/>
                <w:color w:val="auto"/>
              </w:rPr>
              <w:t>Prepaid and other current assets</w:t>
            </w:r>
          </w:p>
        </w:tc>
        <w:tc>
          <w:tcPr>
            <w:tcW w:w="2060" w:type="dxa"/>
            <w:vAlign w:val="bottom"/>
            <w:gridSpan w:val="4"/>
          </w:tcPr>
          <w:p>
            <w:pPr>
              <w:jc w:val="right"/>
              <w:ind w:right="160"/>
              <w:spacing w:after="0"/>
              <w:rPr>
                <w:sz w:val="20"/>
                <w:szCs w:val="20"/>
                <w:color w:val="auto"/>
              </w:rPr>
            </w:pPr>
            <w:r>
              <w:rPr>
                <w:rFonts w:ascii="Arial" w:cs="Arial" w:eastAsia="Arial" w:hAnsi="Arial"/>
                <w:sz w:val="18"/>
                <w:szCs w:val="18"/>
                <w:color w:val="auto"/>
              </w:rPr>
              <w:t>(952)</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788</w:t>
            </w:r>
          </w:p>
        </w:tc>
      </w:tr>
      <w:tr>
        <w:trPr>
          <w:trHeight w:val="216"/>
        </w:trPr>
        <w:tc>
          <w:tcPr>
            <w:tcW w:w="8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20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1,770</w:t>
            </w:r>
          </w:p>
        </w:tc>
      </w:tr>
      <w:tr>
        <w:trPr>
          <w:trHeight w:val="216"/>
        </w:trPr>
        <w:tc>
          <w:tcPr>
            <w:tcW w:w="8300" w:type="dxa"/>
            <w:vAlign w:val="bottom"/>
          </w:tcPr>
          <w:p>
            <w:pPr>
              <w:ind w:left="720"/>
              <w:spacing w:after="0"/>
              <w:rPr>
                <w:sz w:val="20"/>
                <w:szCs w:val="20"/>
                <w:color w:val="auto"/>
              </w:rPr>
            </w:pPr>
            <w:r>
              <w:rPr>
                <w:rFonts w:ascii="Arial" w:cs="Arial" w:eastAsia="Arial" w:hAnsi="Arial"/>
                <w:sz w:val="18"/>
                <w:szCs w:val="18"/>
                <w:color w:val="auto"/>
              </w:rPr>
              <w:t>Accrued payroll and related costs</w:t>
            </w:r>
          </w:p>
        </w:tc>
        <w:tc>
          <w:tcPr>
            <w:tcW w:w="2060" w:type="dxa"/>
            <w:vAlign w:val="bottom"/>
            <w:gridSpan w:val="4"/>
          </w:tcPr>
          <w:p>
            <w:pPr>
              <w:jc w:val="right"/>
              <w:ind w:right="160"/>
              <w:spacing w:after="0"/>
              <w:rPr>
                <w:sz w:val="20"/>
                <w:szCs w:val="20"/>
                <w:color w:val="auto"/>
              </w:rPr>
            </w:pPr>
            <w:r>
              <w:rPr>
                <w:rFonts w:ascii="Arial" w:cs="Arial" w:eastAsia="Arial" w:hAnsi="Arial"/>
                <w:sz w:val="18"/>
                <w:szCs w:val="18"/>
                <w:color w:val="auto"/>
              </w:rPr>
              <w:t>(449)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(990)</w:t>
            </w:r>
          </w:p>
        </w:tc>
      </w:tr>
      <w:tr>
        <w:trPr>
          <w:trHeight w:val="216"/>
        </w:trPr>
        <w:tc>
          <w:tcPr>
            <w:tcW w:w="8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accrued liabilities</w:t>
            </w: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292</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w:t>
            </w:r>
          </w:p>
        </w:tc>
      </w:tr>
      <w:tr>
        <w:trPr>
          <w:trHeight w:val="223"/>
        </w:trPr>
        <w:tc>
          <w:tcPr>
            <w:tcW w:w="830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1860" w:type="dxa"/>
            <w:vAlign w:val="bottom"/>
            <w:gridSpan w:val="3"/>
          </w:tcPr>
          <w:p>
            <w:pPr>
              <w:jc w:val="right"/>
              <w:ind w:right="20"/>
              <w:spacing w:after="0"/>
              <w:rPr>
                <w:sz w:val="20"/>
                <w:szCs w:val="20"/>
                <w:color w:val="auto"/>
              </w:rPr>
            </w:pPr>
            <w:r>
              <w:rPr>
                <w:rFonts w:ascii="Arial" w:cs="Arial" w:eastAsia="Arial" w:hAnsi="Arial"/>
                <w:sz w:val="18"/>
                <w:szCs w:val="18"/>
                <w:color w:val="auto"/>
              </w:rPr>
              <w:t>232</w:t>
            </w:r>
          </w:p>
        </w:tc>
        <w:tc>
          <w:tcPr>
            <w:tcW w:w="2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r>
      <w:tr>
        <w:trPr>
          <w:trHeight w:val="216"/>
        </w:trPr>
        <w:tc>
          <w:tcPr>
            <w:tcW w:w="83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flows provided by operating activities</w:t>
            </w:r>
          </w:p>
        </w:tc>
        <w:tc>
          <w:tcPr>
            <w:tcW w:w="1260" w:type="dxa"/>
            <w:vAlign w:val="bottom"/>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13,107</w:t>
            </w:r>
          </w:p>
        </w:tc>
        <w:tc>
          <w:tcPr>
            <w:tcW w:w="2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20" w:type="dxa"/>
            <w:vAlign w:val="bottom"/>
            <w:shd w:val="clear" w:color="auto" w:fill="CCEEFF"/>
          </w:tcPr>
          <w:p>
            <w:pPr>
              <w:spacing w:after="0"/>
              <w:rPr>
                <w:sz w:val="18"/>
                <w:szCs w:val="18"/>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INVESTING ACTIVITIES:</w:t>
            </w:r>
          </w:p>
        </w:tc>
        <w:tc>
          <w:tcPr>
            <w:tcW w:w="12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Recovery of (payment for) non-current deposits</w:t>
            </w: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r>
      <w:tr>
        <w:trPr>
          <w:trHeight w:val="223"/>
        </w:trPr>
        <w:tc>
          <w:tcPr>
            <w:tcW w:w="830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2060" w:type="dxa"/>
            <w:vAlign w:val="bottom"/>
            <w:gridSpan w:val="4"/>
          </w:tcPr>
          <w:p>
            <w:pPr>
              <w:jc w:val="right"/>
              <w:ind w:right="160"/>
              <w:spacing w:after="0"/>
              <w:rPr>
                <w:sz w:val="20"/>
                <w:szCs w:val="20"/>
                <w:color w:val="auto"/>
              </w:rPr>
            </w:pPr>
            <w:r>
              <w:rPr>
                <w:rFonts w:ascii="Arial" w:cs="Arial" w:eastAsia="Arial" w:hAnsi="Arial"/>
                <w:sz w:val="18"/>
                <w:szCs w:val="18"/>
                <w:color w:val="auto"/>
              </w:rPr>
              <w:t>(112)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(797)</w:t>
            </w:r>
          </w:p>
        </w:tc>
      </w:tr>
      <w:tr>
        <w:trPr>
          <w:trHeight w:val="216"/>
        </w:trPr>
        <w:tc>
          <w:tcPr>
            <w:tcW w:w="83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flows (used in) investing activities</w:t>
            </w:r>
          </w:p>
        </w:tc>
        <w:tc>
          <w:tcPr>
            <w:tcW w:w="126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20" w:type="dxa"/>
            <w:vAlign w:val="bottom"/>
            <w:shd w:val="clear" w:color="auto" w:fill="CCEEFF"/>
          </w:tcPr>
          <w:p>
            <w:pPr>
              <w:spacing w:after="0"/>
              <w:rPr>
                <w:sz w:val="18"/>
                <w:szCs w:val="18"/>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FINANCING ACTIVITIES:</w:t>
            </w: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on term loan facility</w:t>
            </w:r>
          </w:p>
        </w:tc>
        <w:tc>
          <w:tcPr>
            <w:tcW w:w="20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(1,100)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(2,200)</w:t>
            </w:r>
          </w:p>
        </w:tc>
      </w:tr>
      <w:tr>
        <w:trPr>
          <w:trHeight w:val="216"/>
        </w:trPr>
        <w:tc>
          <w:tcPr>
            <w:tcW w:w="8300" w:type="dxa"/>
            <w:vAlign w:val="bottom"/>
          </w:tcPr>
          <w:p>
            <w:pPr>
              <w:ind w:left="360"/>
              <w:spacing w:after="0"/>
              <w:rPr>
                <w:sz w:val="20"/>
                <w:szCs w:val="20"/>
                <w:color w:val="auto"/>
              </w:rPr>
            </w:pPr>
            <w:r>
              <w:rPr>
                <w:rFonts w:ascii="Arial" w:cs="Arial" w:eastAsia="Arial" w:hAnsi="Arial"/>
                <w:sz w:val="18"/>
                <w:szCs w:val="18"/>
                <w:color w:val="auto"/>
              </w:rPr>
              <w:t>Proceeds from the issuance of common shares</w:t>
            </w:r>
          </w:p>
        </w:tc>
        <w:tc>
          <w:tcPr>
            <w:tcW w:w="1860" w:type="dxa"/>
            <w:vAlign w:val="bottom"/>
            <w:gridSpan w:val="3"/>
          </w:tcPr>
          <w:p>
            <w:pPr>
              <w:jc w:val="right"/>
              <w:ind w:right="20"/>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r>
      <w:tr>
        <w:trPr>
          <w:trHeight w:val="216"/>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treasury stock</w:t>
            </w:r>
          </w:p>
        </w:tc>
        <w:tc>
          <w:tcPr>
            <w:tcW w:w="20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(572)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8300" w:type="dxa"/>
            <w:vAlign w:val="bottom"/>
          </w:tcPr>
          <w:p>
            <w:pPr>
              <w:ind w:left="360"/>
              <w:spacing w:after="0"/>
              <w:rPr>
                <w:sz w:val="20"/>
                <w:szCs w:val="20"/>
                <w:color w:val="auto"/>
              </w:rPr>
            </w:pPr>
            <w:r>
              <w:rPr>
                <w:rFonts w:ascii="Arial" w:cs="Arial" w:eastAsia="Arial" w:hAnsi="Arial"/>
                <w:sz w:val="18"/>
                <w:szCs w:val="18"/>
                <w:color w:val="auto"/>
              </w:rPr>
              <w:t>Proceeds from the exercise of stock options</w:t>
            </w:r>
          </w:p>
        </w:tc>
        <w:tc>
          <w:tcPr>
            <w:tcW w:w="1260" w:type="dxa"/>
            <w:vAlign w:val="bottom"/>
          </w:tcPr>
          <w:p>
            <w:pPr>
              <w:spacing w:after="0"/>
              <w:rPr>
                <w:sz w:val="19"/>
                <w:szCs w:val="19"/>
                <w:color w:val="auto"/>
              </w:rPr>
            </w:pPr>
          </w:p>
        </w:tc>
        <w:tc>
          <w:tcPr>
            <w:tcW w:w="8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1,323</w:t>
            </w:r>
          </w:p>
        </w:tc>
      </w:tr>
      <w:tr>
        <w:trPr>
          <w:trHeight w:val="216"/>
        </w:trPr>
        <w:tc>
          <w:tcPr>
            <w:tcW w:w="83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flows (used in) financing activities</w:t>
            </w:r>
          </w:p>
        </w:tc>
        <w:tc>
          <w:tcPr>
            <w:tcW w:w="126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(1,522)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CEEFF"/>
          </w:tcPr>
          <w:p>
            <w:pPr>
              <w:spacing w:after="0"/>
              <w:rPr>
                <w:sz w:val="18"/>
                <w:szCs w:val="18"/>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0"/>
                <w:szCs w:val="20"/>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860" w:type="dxa"/>
            <w:vAlign w:val="bottom"/>
            <w:gridSpan w:val="3"/>
          </w:tcPr>
          <w:p>
            <w:pPr>
              <w:jc w:val="right"/>
              <w:ind w:right="20"/>
              <w:spacing w:after="0"/>
              <w:rPr>
                <w:sz w:val="20"/>
                <w:szCs w:val="20"/>
                <w:color w:val="auto"/>
              </w:rPr>
            </w:pPr>
            <w:r>
              <w:rPr>
                <w:rFonts w:ascii="Arial" w:cs="Arial" w:eastAsia="Arial" w:hAnsi="Arial"/>
                <w:sz w:val="18"/>
                <w:szCs w:val="18"/>
                <w:color w:val="auto"/>
              </w:rPr>
              <w:t>7,057</w:t>
            </w:r>
          </w:p>
        </w:tc>
        <w:tc>
          <w:tcPr>
            <w:tcW w:w="20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6,622</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260" w:type="dxa"/>
            <w:vAlign w:val="bottom"/>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18,614</w:t>
            </w:r>
          </w:p>
        </w:tc>
        <w:tc>
          <w:tcPr>
            <w:tcW w:w="2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$ 6,722</w:t>
            </w:r>
          </w:p>
        </w:tc>
        <w:tc>
          <w:tcPr>
            <w:tcW w:w="120" w:type="dxa"/>
            <w:vAlign w:val="bottom"/>
            <w:shd w:val="clear" w:color="auto" w:fill="CCEEFF"/>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702"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MASTECH DIGITAL, INC.</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JUNE 30, 2023 AND 2022</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560" w:right="6720" w:hanging="444"/>
        <w:spacing w:after="0" w:line="377" w:lineRule="auto"/>
        <w:tabs>
          <w:tab w:leader="none" w:pos="5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Basis of Presentation: </w:t>
      </w:r>
      <w:r>
        <w:rPr>
          <w:rFonts w:ascii="Arial" w:cs="Arial" w:eastAsia="Arial" w:hAnsi="Arial"/>
          <w:sz w:val="18"/>
          <w:szCs w:val="18"/>
          <w:b w:val="1"/>
          <w:bCs w:val="1"/>
          <w:i w:val="1"/>
          <w:iCs w:val="1"/>
          <w:color w:val="auto"/>
        </w:rPr>
        <w:t>Basis of Presentation</w:t>
      </w:r>
    </w:p>
    <w:p>
      <w:pPr>
        <w:spacing w:after="0" w:line="2"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References in this Quarterly Report on Form 10-Q to “we”, “our”, “Mastech Digital”, “Mastech” or “the Company” refer collectively to Mastech Digital, Inc. and its wholly owned operating subsidiaries, which are included in these Condensed Consolidated Financial Statements (the “Financial Statements”).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a provider of Digital Transformation IT Services to mostly large and medium-sized organizations.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portfolio of offerings includes data management and analytics services, digital learning services and IT staffing services.</w:t>
      </w:r>
    </w:p>
    <w:p>
      <w:pPr>
        <w:spacing w:after="0" w:line="225"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With our 2017 acquisition of the services division of Canada-based InfoTrellis, Inc., we added specialized capabilities in delivering data and analytics services to our customers, which became our Data and Analytics Services segment. This segment offers project-based consulting services in the areas of data management, data engineering and data science, with such services delivered using on-site and offshore resources. In October 2020, we acquired AmberLeaf Partners, Inc. (“AmberLeaf”), a Chicago-based customer experience consulting firm. This acquisition expanded our Data and Analytics Services segment’s capabilities in customer experience strategy and managed services offering for a variety of Cloud-based enterprise applications across sales, marketing and customer services organizations.</w:t>
      </w:r>
    </w:p>
    <w:p>
      <w:pPr>
        <w:spacing w:after="0" w:line="17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IT staffing services segment combines technical expertise with business process experience to deliver a broad range of staffing services in digital and mainstream technologies. Our digital technologies include data management, analytics, cloud, mobility, social and artificial intelligence. We work with businesses and institutions with significant IT spending and recurring staffing service needs. We also support smaller organizations with their “project focused” temporary IT staffing requirements.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COVID-19 pandemic had a material impact on activity levels in both of our business segments in 2020. This impact was reduced in 2021 because of the global roll-out of vaccination programs and signs of improving economic conditions. COVID-19- related concerns were less impactful on our business in 2022. Still, the proliferation of COVID-19 variants has caused some uncertainty and could continue to disrupt global markets in 2023 and beyond.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Accounting Principles</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The accompanying Financial Statements have been prepared by management in accordance with U.S. generally accepted accounting principles (“GAAP”) for interim financial information and applicable rules and regulations of the Securities and Exchange Commission (the “SEC”). Accordingly, they do not include all of the information and disclosures required by U.S. GAAP for complete consolidated financial statements. In the opinion of management, all adjustments, consisting principally of normal recurring adjustments, considered necessary for a fair presentation have been included. The preparation of financial statements in conformity with U.S. GAAP requires management to make estimates and assumptions that affect the amounts reported in the Financial Statements and the accompanying notes. Actual results could differ from these estimates. These Financial Statements should be read in conjunction with the Company’s audited consolidated financial statements and accompanying notes for the year ended December 31, 2022, included in our Annual Report on Form 10-K filed with the SEC on March 27, 2023. Additionally, our operating results for the three and six months ended June 30, 2023, are not necessarily indicative of the results that can be expected for the year ending December 31, 2023, or for any other period.</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Financial Statements include the accounts of the Company and its wholly-owned subsidiaries. All material intercompany transactions and balances have been eliminated in consolidation.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Please refer to Note 1 “Summary of Significant Accounting Policies” of the Consolidated Financial Statements and “Management’s Discussion and Analysis of Financial Condition and Results of Operations–Critical Accounting Policies and Estimates” in our Annual Report on Form 10-K for the year ended December 31, 2022, for a more detailed discussion of our significant accounting policies and critical accounting estimates. There were no material changes to these critical accounting policies during the six months ended June 30, 2023.</w:t>
      </w:r>
    </w:p>
    <w:p>
      <w:pPr>
        <w:sectPr>
          <w:pgSz w:w="11900" w:h="16838" w:orient="portrait"/>
          <w:cols w:equalWidth="0" w:num="1">
            <w:col w:w="11120"/>
          </w:cols>
          <w:pgMar w:left="320" w:top="702" w:right="459" w:bottom="1440" w:gutter="0" w:footer="0" w:header="0"/>
        </w:sectPr>
      </w:pP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20"/>
          </w:cols>
          <w:pgMar w:left="320" w:top="702" w:right="4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Company has two reportable segments, in accordance with Accounting Standards Committee (“ASC”) Topic 280 “Disclosures About Segments of an Enterprise and Related Information”: Data and Analytics Services and IT Staffing Services.</w:t>
      </w:r>
    </w:p>
    <w:p>
      <w:pPr>
        <w:spacing w:after="0" w:line="315" w:lineRule="exact"/>
        <w:rPr>
          <w:sz w:val="20"/>
          <w:szCs w:val="20"/>
          <w:color w:val="auto"/>
        </w:rPr>
      </w:pPr>
    </w:p>
    <w:p>
      <w:pPr>
        <w:ind w:left="560" w:hanging="444"/>
        <w:spacing w:after="0"/>
        <w:tabs>
          <w:tab w:leader="none" w:pos="5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Company recognizes revenue on time-and-material contracts over time as services are performed and expenses are incurred. Time-and-material contracts typically bill at an agreed-upon hourly rate and also require out-of-pocket expense reimbursement. Out-of-pocket expense reimbursement amounts vary by assignment, but on average represent less than 2% of the total contract revenues. Revenue is earned on a per transaction or labor hour basis, as that amount directly corresponds to the value of the Company’s performance. Revenue recognition is negatively impacted by holidays and consultant vacation and sick days.</w:t>
      </w:r>
    </w:p>
    <w:p>
      <w:pPr>
        <w:spacing w:after="0" w:line="18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Company recognizes revenue on fixed price contracts over time as services are rendered and uses a cost-based input method to measure progress. Determining a measure of progress requires management to make judgments that affect the timing of revenue recognized. Under the cost-based input method, the extent of progress towards completion is measured based on the ratio of costs incurred to date to the total estimated costs at completion of the performance obligation. Revenues, including estimated fees or profits, are recorded proportionally as costs are incurred. The Company has determined that the cost-based input method provides a faithful depiction of the transfer of goods or services to the customer. Estimated losses are recognized immediately in the period in which current estimates indicate a loss. We record deferred revenues when cash payments are received or due in advance of our performance, including amounts which may be refundable.</w:t>
      </w:r>
    </w:p>
    <w:p>
      <w:pPr>
        <w:spacing w:after="0" w:line="17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Company’s time-and-material and fixed price revenue streams are recognized over time as the customer receives and consumes the benefits of the Company’s performance as the work is performed.</w:t>
      </w:r>
    </w:p>
    <w:p>
      <w:pPr>
        <w:spacing w:after="0" w:line="170"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In certain situations related to client direct hire assignments, where the Company’s fee is contingent upon the hired resources continued employment with the client, revenue is not fully recognized until such employment conditions are satisfied.</w:t>
      </w:r>
    </w:p>
    <w:p>
      <w:pPr>
        <w:spacing w:after="0" w:line="170"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We do not sell, lease or otherwise market computer software or hardware, and, essentially, 100% of our revenue is derived from the sale of data and analytics, IT staffing and digital transformation services. We expense sales commissions in the same period in which revenues are realized. These costs are recorded within sales and marketing expenses.</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Each contract the Company enters into is assessed to determine the promised services to be performed and includes identification of the performance obligations required by the contract. In substantially all our contracts, we have identified a single performance obligation for each contract either because the promised services are distinct or the promised services are highly interrelated and interdependent and, therefore, represent a combined single performance obligation.</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Our Data and Analytics Services segment provides specialized capabilities in delivering data management and analytics services to its customers. This business offers project-based consulting services in the areas of Master Data Management, Enterprise Data Integration, Data Engineering and Analytics, all of which can be delivered using onsite and offshore resources.</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Our IT Staffing Services segment combines technical expertise with business process experience to deliver a broad range of services in digital and mainstream technologies. Our digital technology stack includes data management and analytics, cloud, mobility, social and automation. Our mainstream technologies include business intelligence / data warehousing, web services, enterprise resource planning &amp; customer resource management, and e-Business solutions. We work with businesses and institutions with significant IT spend and recurring staffing needs. We also support smaller organizations with their “project focused” temporary IT staffing requirements.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depicts the disaggregation of our revenues by contract type and operating segment:</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ind w:left="440"/>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w w:val="96"/>
              </w:rPr>
              <w:t>2022</w:t>
            </w:r>
          </w:p>
        </w:tc>
        <w:tc>
          <w:tcPr>
            <w:tcW w:w="320" w:type="dxa"/>
            <w:vAlign w:val="bottom"/>
          </w:tcPr>
          <w:p>
            <w:pPr>
              <w:spacing w:after="0"/>
              <w:rPr>
                <w:sz w:val="13"/>
                <w:szCs w:val="13"/>
                <w:color w:val="auto"/>
              </w:rPr>
            </w:pPr>
          </w:p>
        </w:tc>
        <w:tc>
          <w:tcPr>
            <w:tcW w:w="660" w:type="dxa"/>
            <w:vAlign w:val="bottom"/>
            <w:tcBorders>
              <w:top w:val="single" w:sz="8" w:color="auto"/>
            </w:tcBorders>
          </w:tcPr>
          <w:p>
            <w:pPr>
              <w:jc w:val="right"/>
              <w:ind w:right="100"/>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jc w:val="right"/>
              <w:ind w:right="99"/>
              <w:spacing w:after="0" w:line="155"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6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1"/>
              </w:rPr>
              <w:t>(Amounts</w:t>
            </w:r>
          </w:p>
        </w:tc>
        <w:tc>
          <w:tcPr>
            <w:tcW w:w="32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in</w:t>
            </w:r>
          </w:p>
        </w:tc>
        <w:tc>
          <w:tcPr>
            <w:tcW w:w="7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0"/>
              </w:rPr>
              <w:t>thousands)</w:t>
            </w:r>
          </w:p>
        </w:tc>
        <w:tc>
          <w:tcPr>
            <w:tcW w:w="32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(Amounts</w:t>
            </w:r>
          </w:p>
        </w:tc>
        <w:tc>
          <w:tcPr>
            <w:tcW w:w="32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in</w:t>
            </w: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4"/>
              </w:rPr>
              <w:t>thousands)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Data and Analytics Services Segment</w:t>
            </w:r>
          </w:p>
        </w:tc>
        <w:tc>
          <w:tcPr>
            <w:tcW w:w="2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Time-and-material Contracts</w:t>
            </w:r>
          </w:p>
        </w:tc>
        <w:tc>
          <w:tcPr>
            <w:tcW w:w="126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6,438</w:t>
            </w:r>
          </w:p>
        </w:tc>
        <w:tc>
          <w:tcPr>
            <w:tcW w:w="500" w:type="dxa"/>
            <w:vAlign w:val="bottom"/>
            <w:tcBorders>
              <w:top w:val="single" w:sz="8" w:color="CCEEFF"/>
            </w:tcBorders>
            <w:gridSpan w:val="2"/>
          </w:tcPr>
          <w:p>
            <w:pPr>
              <w:ind w:left="3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6,863</w:t>
            </w:r>
          </w:p>
        </w:tc>
        <w:tc>
          <w:tcPr>
            <w:tcW w:w="820" w:type="dxa"/>
            <w:vAlign w:val="bottom"/>
            <w:tcBorders>
              <w:top w:val="single" w:sz="8" w:color="CCEEFF"/>
            </w:tcBorders>
            <w:gridSpan w:val="2"/>
          </w:tcPr>
          <w:p>
            <w:pPr>
              <w:jc w:val="right"/>
              <w:ind w:right="88"/>
              <w:spacing w:after="0"/>
              <w:rPr>
                <w:sz w:val="20"/>
                <w:szCs w:val="20"/>
                <w:color w:val="auto"/>
              </w:rPr>
            </w:pPr>
            <w:r>
              <w:rPr>
                <w:rFonts w:ascii="Arial" w:cs="Arial" w:eastAsia="Arial" w:hAnsi="Arial"/>
                <w:sz w:val="18"/>
                <w:szCs w:val="18"/>
                <w:color w:val="auto"/>
                <w:w w:val="91"/>
              </w:rPr>
              <w:t>$ 13,139</w:t>
            </w:r>
          </w:p>
        </w:tc>
        <w:tc>
          <w:tcPr>
            <w:tcW w:w="860" w:type="dxa"/>
            <w:vAlign w:val="bottom"/>
            <w:tcBorders>
              <w:top w:val="single" w:sz="8" w:color="CCEEFF"/>
            </w:tcBorders>
            <w:gridSpan w:val="3"/>
          </w:tcPr>
          <w:p>
            <w:pPr>
              <w:jc w:val="right"/>
              <w:ind w:right="40"/>
              <w:spacing w:after="0"/>
              <w:rPr>
                <w:sz w:val="20"/>
                <w:szCs w:val="20"/>
                <w:color w:val="auto"/>
              </w:rPr>
            </w:pPr>
            <w:r>
              <w:rPr>
                <w:rFonts w:ascii="Arial" w:cs="Arial" w:eastAsia="Arial" w:hAnsi="Arial"/>
                <w:sz w:val="18"/>
                <w:szCs w:val="18"/>
                <w:color w:val="auto"/>
              </w:rPr>
              <w:t>$ 13,044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Fixed-price Contracts</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4,387</w:t>
            </w:r>
          </w:p>
        </w:tc>
        <w:tc>
          <w:tcPr>
            <w:tcW w:w="8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5,029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b w:val="1"/>
                <w:bCs w:val="1"/>
                <w:color w:val="auto"/>
              </w:rPr>
              <w:t>Subtotal Data and Analytics Services</w:t>
            </w:r>
          </w:p>
        </w:tc>
        <w:tc>
          <w:tcPr>
            <w:tcW w:w="2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8,773</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11,250</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$ 18,168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$ 21,402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380" w:type="dxa"/>
            <w:vAlign w:val="bottom"/>
            <w:vMerge w:val="restart"/>
          </w:tcPr>
          <w:p>
            <w:pPr>
              <w:jc w:val="right"/>
              <w:ind w:right="1290"/>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702"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tbl>
      <w:tblPr>
        <w:tblLayout w:type="fixed"/>
        <w:tblInd w:w="5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660" w:type="dxa"/>
            <w:vAlign w:val="bottom"/>
            <w:gridSpan w:val="4"/>
          </w:tcPr>
          <w:p>
            <w:pPr>
              <w:jc w:val="right"/>
              <w:ind w:right="94"/>
              <w:spacing w:after="0" w:line="153" w:lineRule="exact"/>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4"/>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2023</w:t>
            </w: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2023</w:t>
            </w:r>
          </w:p>
        </w:tc>
        <w:tc>
          <w:tcPr>
            <w:tcW w:w="1000" w:type="dxa"/>
            <w:vAlign w:val="bottom"/>
            <w:tcBorders>
              <w:top w:val="single" w:sz="8" w:color="auto"/>
            </w:tcBorders>
            <w:gridSpan w:val="2"/>
          </w:tcPr>
          <w:p>
            <w:pPr>
              <w:jc w:val="center"/>
              <w:ind w:left="262"/>
              <w:spacing w:after="0" w:line="142" w:lineRule="exact"/>
              <w:rPr>
                <w:sz w:val="20"/>
                <w:szCs w:val="20"/>
                <w:color w:val="auto"/>
              </w:rPr>
            </w:pPr>
            <w:r>
              <w:rPr>
                <w:rFonts w:ascii="Arial" w:cs="Arial" w:eastAsia="Arial" w:hAnsi="Arial"/>
                <w:sz w:val="14"/>
                <w:szCs w:val="14"/>
                <w:b w:val="1"/>
                <w:bCs w:val="1"/>
                <w:color w:val="auto"/>
                <w:w w:val="96"/>
              </w:rPr>
              <w:t>2022</w:t>
            </w:r>
          </w:p>
        </w:tc>
        <w:tc>
          <w:tcPr>
            <w:tcW w:w="40" w:type="dxa"/>
            <w:vAlign w:val="bottom"/>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66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w w:val="82"/>
              </w:rPr>
              <w:t>(Amounts</w:t>
            </w:r>
          </w:p>
        </w:tc>
        <w:tc>
          <w:tcPr>
            <w:tcW w:w="340" w:type="dxa"/>
            <w:vAlign w:val="bottom"/>
          </w:tcPr>
          <w:p>
            <w:pPr>
              <w:ind w:left="80"/>
              <w:spacing w:after="0"/>
              <w:rPr>
                <w:sz w:val="20"/>
                <w:szCs w:val="20"/>
                <w:color w:val="auto"/>
              </w:rPr>
            </w:pPr>
            <w:r>
              <w:rPr>
                <w:rFonts w:ascii="Arial" w:cs="Arial" w:eastAsia="Arial" w:hAnsi="Arial"/>
                <w:sz w:val="14"/>
                <w:szCs w:val="14"/>
                <w:b w:val="1"/>
                <w:bCs w:val="1"/>
                <w:color w:val="auto"/>
              </w:rPr>
              <w:t>in</w:t>
            </w:r>
          </w:p>
        </w:tc>
        <w:tc>
          <w:tcPr>
            <w:tcW w:w="660" w:type="dxa"/>
            <w:vAlign w:val="bottom"/>
            <w:tcBorders>
              <w:top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w w:val="71"/>
              </w:rPr>
              <w:t>thousands)</w:t>
            </w:r>
          </w:p>
        </w:tc>
        <w:tc>
          <w:tcPr>
            <w:tcW w:w="3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(Amounts</w:t>
            </w:r>
          </w:p>
        </w:tc>
        <w:tc>
          <w:tcPr>
            <w:tcW w:w="340" w:type="dxa"/>
            <w:vAlign w:val="bottom"/>
          </w:tcPr>
          <w:p>
            <w:pPr>
              <w:ind w:left="80"/>
              <w:spacing w:after="0"/>
              <w:rPr>
                <w:sz w:val="20"/>
                <w:szCs w:val="20"/>
                <w:color w:val="auto"/>
              </w:rPr>
            </w:pPr>
            <w:r>
              <w:rPr>
                <w:rFonts w:ascii="Arial" w:cs="Arial" w:eastAsia="Arial" w:hAnsi="Arial"/>
                <w:sz w:val="14"/>
                <w:szCs w:val="14"/>
                <w:b w:val="1"/>
                <w:bCs w:val="1"/>
                <w:color w:val="auto"/>
              </w:rPr>
              <w:t>in</w:t>
            </w:r>
          </w:p>
        </w:tc>
        <w:tc>
          <w:tcPr>
            <w:tcW w:w="6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w w:val="84"/>
              </w:rPr>
              <w:t>thousands)</w:t>
            </w:r>
          </w:p>
        </w:tc>
        <w:tc>
          <w:tcPr>
            <w:tcW w:w="40" w:type="dxa"/>
            <w:vAlign w:val="bottom"/>
          </w:tcPr>
          <w:p>
            <w:pPr>
              <w:spacing w:after="0"/>
              <w:rPr>
                <w:sz w:val="14"/>
                <w:szCs w:val="14"/>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IT Staffing Services Segment</w:t>
            </w:r>
          </w:p>
        </w:tc>
        <w:tc>
          <w:tcPr>
            <w:tcW w:w="4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Time-and-material Contracts</w:t>
            </w:r>
          </w:p>
        </w:tc>
        <w:tc>
          <w:tcPr>
            <w:tcW w:w="660" w:type="dxa"/>
            <w:vAlign w:val="bottom"/>
          </w:tcPr>
          <w:p>
            <w:pPr>
              <w:jc w:val="center"/>
              <w:spacing w:after="0"/>
              <w:rPr>
                <w:sz w:val="20"/>
                <w:szCs w:val="20"/>
                <w:color w:val="auto"/>
              </w:rPr>
            </w:pPr>
            <w:r>
              <w:rPr>
                <w:rFonts w:ascii="Arial" w:cs="Arial" w:eastAsia="Arial" w:hAnsi="Arial"/>
                <w:sz w:val="18"/>
                <w:szCs w:val="18"/>
                <w:color w:val="auto"/>
                <w:w w:val="94"/>
              </w:rPr>
              <w:t>$ 43,431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50,867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89,099</w:t>
            </w:r>
          </w:p>
        </w:tc>
        <w:tc>
          <w:tcPr>
            <w:tcW w:w="1000" w:type="dxa"/>
            <w:vAlign w:val="bottom"/>
            <w:gridSpan w:val="2"/>
          </w:tcPr>
          <w:p>
            <w:pPr>
              <w:jc w:val="center"/>
              <w:ind w:left="262"/>
              <w:spacing w:after="0"/>
              <w:rPr>
                <w:sz w:val="20"/>
                <w:szCs w:val="20"/>
                <w:color w:val="auto"/>
              </w:rPr>
            </w:pPr>
            <w:r>
              <w:rPr>
                <w:rFonts w:ascii="Arial" w:cs="Arial" w:eastAsia="Arial" w:hAnsi="Arial"/>
                <w:sz w:val="18"/>
                <w:szCs w:val="18"/>
                <w:color w:val="auto"/>
                <w:w w:val="87"/>
              </w:rPr>
              <w:t>$100,470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Fixed-price Contracts</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400" w:type="dxa"/>
            <w:vAlign w:val="bottom"/>
            <w:gridSpan w:val="2"/>
          </w:tcPr>
          <w:p>
            <w:pPr>
              <w:ind w:left="340"/>
              <w:spacing w:after="0"/>
              <w:rPr>
                <w:sz w:val="20"/>
                <w:szCs w:val="20"/>
                <w:color w:val="auto"/>
              </w:rPr>
            </w:pPr>
            <w:r>
              <w:rPr>
                <w:rFonts w:ascii="Arial" w:cs="Arial" w:eastAsia="Arial" w:hAnsi="Arial"/>
                <w:sz w:val="18"/>
                <w:szCs w:val="18"/>
                <w:b w:val="1"/>
                <w:bCs w:val="1"/>
                <w:color w:val="auto"/>
              </w:rPr>
              <w:t>Subtotal IT Staffing Services</w:t>
            </w: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$ 43,431</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50,867</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89,099</w:t>
            </w:r>
          </w:p>
        </w:tc>
        <w:tc>
          <w:tcPr>
            <w:tcW w:w="3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100,470</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Revenues</w:t>
            </w:r>
          </w:p>
        </w:tc>
        <w:tc>
          <w:tcPr>
            <w:tcW w:w="6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$ 52,204</w:t>
            </w: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62,117</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107,267</w:t>
            </w:r>
          </w:p>
        </w:tc>
        <w:tc>
          <w:tcPr>
            <w:tcW w:w="34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121,872</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0" w:firstLine="440"/>
        <w:spacing w:after="0" w:line="259" w:lineRule="auto"/>
        <w:rPr>
          <w:sz w:val="20"/>
          <w:szCs w:val="20"/>
          <w:color w:val="auto"/>
        </w:rPr>
      </w:pPr>
      <w:r>
        <w:rPr>
          <w:rFonts w:ascii="Arial" w:cs="Arial" w:eastAsia="Arial" w:hAnsi="Arial"/>
          <w:sz w:val="18"/>
          <w:szCs w:val="18"/>
          <w:color w:val="auto"/>
        </w:rPr>
        <w:t>For the three months ended June 30, 2023, the Company had one client (CGI =24.0%) that exceeded 10% of total revenues. For the six months ended June 30, 2023, the Company had the same one client (CGI = 24.8%) that exceeded 10% of total revenues. For the three months ended June 30, 2022, the Company had one client (CGI =22.3%) that exceeded 10% of total revenues. For the six months ended June 30, 2022, the Company had the same one client (CGI = 20.1%) that exceeded 10% of total revenues.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Company’s top ten clients represented approximately 55% and 52% of total revenues for the three months ended June 30, 2023 and 2022, respectively. For the six months ended June 30, 2023 and 2022, the Company’s top ten clients represented approximately 55% and 52% of total revenues, respectively. The following table presents our revenue from external customers disaggregated by geography, based on the work location of our customers:</w:t>
      </w:r>
    </w:p>
    <w:p>
      <w:pPr>
        <w:spacing w:after="0" w:line="19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8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420" w:type="dxa"/>
            <w:vAlign w:val="bottom"/>
          </w:tcPr>
          <w:p>
            <w:pPr>
              <w:spacing w:after="0"/>
              <w:rPr>
                <w:sz w:val="14"/>
                <w:szCs w:val="14"/>
                <w:color w:val="auto"/>
              </w:rPr>
            </w:pPr>
          </w:p>
        </w:tc>
        <w:tc>
          <w:tcPr>
            <w:tcW w:w="112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6420" w:type="dxa"/>
            <w:vAlign w:val="bottom"/>
          </w:tcPr>
          <w:p>
            <w:pPr>
              <w:spacing w:after="0"/>
              <w:rPr>
                <w:sz w:val="12"/>
                <w:szCs w:val="12"/>
                <w:color w:val="auto"/>
              </w:rPr>
            </w:pPr>
          </w:p>
        </w:tc>
        <w:tc>
          <w:tcPr>
            <w:tcW w:w="66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2023</w:t>
            </w:r>
          </w:p>
        </w:tc>
        <w:tc>
          <w:tcPr>
            <w:tcW w:w="1000" w:type="dxa"/>
            <w:vAlign w:val="bottom"/>
            <w:tcBorders>
              <w:top w:val="single" w:sz="8" w:color="auto"/>
            </w:tcBorders>
            <w:gridSpan w:val="2"/>
          </w:tcPr>
          <w:p>
            <w:pPr>
              <w:jc w:val="right"/>
              <w:ind w:right="99"/>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r>
      <w:tr>
        <w:trPr>
          <w:trHeight w:val="156"/>
        </w:trPr>
        <w:tc>
          <w:tcPr>
            <w:tcW w:w="642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(Amounts</w:t>
            </w:r>
          </w:p>
        </w:tc>
        <w:tc>
          <w:tcPr>
            <w:tcW w:w="34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in</w:t>
            </w:r>
          </w:p>
        </w:tc>
        <w:tc>
          <w:tcPr>
            <w:tcW w:w="660" w:type="dxa"/>
            <w:vAlign w:val="bottom"/>
            <w:tcBorders>
              <w:top w:val="single" w:sz="8" w:color="auto"/>
            </w:tcBorders>
            <w:gridSpan w:val="2"/>
          </w:tcPr>
          <w:p>
            <w:pPr>
              <w:jc w:val="right"/>
              <w:ind w:right="14"/>
              <w:spacing w:after="0" w:line="155" w:lineRule="exact"/>
              <w:rPr>
                <w:sz w:val="20"/>
                <w:szCs w:val="20"/>
                <w:color w:val="auto"/>
              </w:rPr>
            </w:pPr>
            <w:r>
              <w:rPr>
                <w:rFonts w:ascii="Arial" w:cs="Arial" w:eastAsia="Arial" w:hAnsi="Arial"/>
                <w:sz w:val="14"/>
                <w:szCs w:val="14"/>
                <w:b w:val="1"/>
                <w:bCs w:val="1"/>
                <w:color w:val="auto"/>
                <w:w w:val="71"/>
              </w:rPr>
              <w:t>thousands)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(Amounts</w:t>
            </w:r>
          </w:p>
        </w:tc>
        <w:tc>
          <w:tcPr>
            <w:tcW w:w="340" w:type="dxa"/>
            <w:vAlign w:val="bottom"/>
          </w:tcPr>
          <w:p>
            <w:pPr>
              <w:ind w:left="80"/>
              <w:spacing w:after="0" w:line="155" w:lineRule="exact"/>
              <w:rPr>
                <w:sz w:val="20"/>
                <w:szCs w:val="20"/>
                <w:color w:val="auto"/>
              </w:rPr>
            </w:pPr>
            <w:r>
              <w:rPr>
                <w:rFonts w:ascii="Arial" w:cs="Arial" w:eastAsia="Arial" w:hAnsi="Arial"/>
                <w:sz w:val="14"/>
                <w:szCs w:val="14"/>
                <w:b w:val="1"/>
                <w:bCs w:val="1"/>
                <w:color w:val="auto"/>
              </w:rPr>
              <w:t>in</w:t>
            </w:r>
          </w:p>
        </w:tc>
        <w:tc>
          <w:tcPr>
            <w:tcW w:w="660" w:type="dxa"/>
            <w:vAlign w:val="bottom"/>
            <w:tcBorders>
              <w:top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w w:val="71"/>
              </w:rPr>
              <w:t>thousands)</w:t>
            </w:r>
          </w:p>
        </w:tc>
        <w:tc>
          <w:tcPr>
            <w:tcW w:w="40" w:type="dxa"/>
            <w:vAlign w:val="bottom"/>
          </w:tcPr>
          <w:p>
            <w:pPr>
              <w:spacing w:after="0"/>
              <w:rPr>
                <w:sz w:val="13"/>
                <w:szCs w:val="13"/>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$ 51,265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60,468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$105,020</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$118,815</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Canada</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701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1,130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1,532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2,149</w:t>
            </w:r>
          </w:p>
        </w:tc>
        <w:tc>
          <w:tcPr>
            <w:tcW w:w="4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India and Other</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908</w:t>
            </w:r>
          </w:p>
        </w:tc>
      </w:tr>
      <w:tr>
        <w:trPr>
          <w:trHeight w:val="223"/>
        </w:trPr>
        <w:tc>
          <w:tcPr>
            <w:tcW w:w="6420" w:type="dxa"/>
            <w:vAlign w:val="bottom"/>
          </w:tcPr>
          <w:p>
            <w:pPr>
              <w:ind w:left="360"/>
              <w:spacing w:after="0"/>
              <w:rPr>
                <w:sz w:val="20"/>
                <w:szCs w:val="20"/>
                <w:color w:val="auto"/>
              </w:rPr>
            </w:pPr>
            <w:r>
              <w:rPr>
                <w:rFonts w:ascii="Arial" w:cs="Arial" w:eastAsia="Arial" w:hAnsi="Arial"/>
                <w:sz w:val="18"/>
                <w:szCs w:val="18"/>
                <w:b w:val="1"/>
                <w:bCs w:val="1"/>
                <w:color w:val="auto"/>
              </w:rPr>
              <w:t>Total revenues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$ 52,204</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62,117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107,267</w:t>
            </w:r>
          </w:p>
        </w:tc>
        <w:tc>
          <w:tcPr>
            <w:tcW w:w="3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121,872</w:t>
            </w:r>
          </w:p>
        </w:tc>
        <w:tc>
          <w:tcPr>
            <w:tcW w:w="4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560" w:hanging="444"/>
        <w:spacing w:after="0"/>
        <w:tabs>
          <w:tab w:leader="none" w:pos="5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 net</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Goodwill related to our June 15, 2015, acquisition of Hudson Global Resources Management’s U.S. IT staffing business (“Hudson IT”) totaled $8.4 million. Goodwill related to our July 13, 2017, acquisition of the services division of InfoTrellis totaled $27.4 million. During 2018, the Company recorded a goodwill impairment of $9.7 million related to the InfoTrellis acquisition. Goodwill related to our October 1, 2020, acquisition of AmberLeaf totaled $6.4 million.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is amortizing the identifiable intangible assets on a straight-line basis over estimated average lives ranging from 3 to 12 years.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Identifiable intangible assets were comprised of the following as of June 30, 2023, and December 31, 2022:</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14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As of June 30, 2023</w:t>
            </w:r>
          </w:p>
        </w:tc>
        <w:tc>
          <w:tcPr>
            <w:tcW w:w="6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180" w:type="dxa"/>
            <w:vAlign w:val="bottom"/>
          </w:tcPr>
          <w:p>
            <w:pPr>
              <w:spacing w:after="0"/>
              <w:rPr>
                <w:sz w:val="10"/>
                <w:szCs w:val="10"/>
                <w:color w:val="auto"/>
              </w:rPr>
            </w:pPr>
          </w:p>
        </w:tc>
        <w:tc>
          <w:tcPr>
            <w:tcW w:w="1040" w:type="dxa"/>
            <w:vAlign w:val="bottom"/>
          </w:tcPr>
          <w:p>
            <w:pPr>
              <w:jc w:val="right"/>
              <w:ind w:right="53"/>
              <w:spacing w:after="0" w:line="119" w:lineRule="exact"/>
              <w:rPr>
                <w:sz w:val="20"/>
                <w:szCs w:val="20"/>
                <w:color w:val="auto"/>
              </w:rPr>
            </w:pPr>
            <w:r>
              <w:rPr>
                <w:rFonts w:ascii="Arial" w:cs="Arial" w:eastAsia="Arial" w:hAnsi="Arial"/>
                <w:sz w:val="13"/>
                <w:szCs w:val="13"/>
                <w:b w:val="1"/>
                <w:bCs w:val="1"/>
                <w:color w:val="auto"/>
              </w:rPr>
              <w:t>Amortization</w:t>
            </w:r>
          </w:p>
        </w:tc>
        <w:tc>
          <w:tcPr>
            <w:tcW w:w="1560" w:type="dxa"/>
            <w:vAlign w:val="bottom"/>
            <w:gridSpan w:val="3"/>
          </w:tcPr>
          <w:p>
            <w:pPr>
              <w:ind w:left="600"/>
              <w:spacing w:after="0" w:line="119" w:lineRule="exact"/>
              <w:rPr>
                <w:sz w:val="20"/>
                <w:szCs w:val="20"/>
                <w:color w:val="auto"/>
              </w:rPr>
            </w:pPr>
            <w:r>
              <w:rPr>
                <w:rFonts w:ascii="Arial" w:cs="Arial" w:eastAsia="Arial" w:hAnsi="Arial"/>
                <w:sz w:val="13"/>
                <w:szCs w:val="13"/>
                <w:b w:val="1"/>
                <w:bCs w:val="1"/>
                <w:color w:val="auto"/>
                <w:w w:val="99"/>
              </w:rPr>
              <w:t>Gross Carrying</w:t>
            </w:r>
          </w:p>
        </w:tc>
        <w:tc>
          <w:tcPr>
            <w:tcW w:w="2020" w:type="dxa"/>
            <w:vAlign w:val="bottom"/>
            <w:gridSpan w:val="4"/>
          </w:tcPr>
          <w:p>
            <w:pPr>
              <w:jc w:val="right"/>
              <w:ind w:right="580"/>
              <w:spacing w:after="0" w:line="119" w:lineRule="exact"/>
              <w:rPr>
                <w:sz w:val="20"/>
                <w:szCs w:val="20"/>
                <w:color w:val="auto"/>
              </w:rPr>
            </w:pPr>
            <w:r>
              <w:rPr>
                <w:rFonts w:ascii="Arial" w:cs="Arial" w:eastAsia="Arial" w:hAnsi="Arial"/>
                <w:sz w:val="13"/>
                <w:szCs w:val="13"/>
                <w:b w:val="1"/>
                <w:bCs w:val="1"/>
                <w:color w:val="auto"/>
              </w:rPr>
              <w:t>Accumulative</w:t>
            </w: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Carrying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460" w:type="dxa"/>
            <w:vAlign w:val="bottom"/>
            <w:gridSpan w:val="2"/>
            <w:vMerge w:val="continue"/>
          </w:tcPr>
          <w:p>
            <w:pPr>
              <w:spacing w:after="0"/>
              <w:rPr>
                <w:sz w:val="12"/>
                <w:szCs w:val="12"/>
                <w:color w:val="auto"/>
              </w:rPr>
            </w:pPr>
          </w:p>
        </w:tc>
        <w:tc>
          <w:tcPr>
            <w:tcW w:w="2220" w:type="dxa"/>
            <w:vAlign w:val="bottom"/>
            <w:gridSpan w:val="2"/>
          </w:tcPr>
          <w:p>
            <w:pPr>
              <w:jc w:val="right"/>
              <w:spacing w:after="0" w:line="125" w:lineRule="exact"/>
              <w:rPr>
                <w:sz w:val="20"/>
                <w:szCs w:val="20"/>
                <w:color w:val="auto"/>
              </w:rPr>
            </w:pPr>
            <w:r>
              <w:rPr>
                <w:rFonts w:ascii="Arial" w:cs="Arial" w:eastAsia="Arial" w:hAnsi="Arial"/>
                <w:sz w:val="14"/>
                <w:szCs w:val="14"/>
                <w:b w:val="1"/>
                <w:bCs w:val="1"/>
                <w:color w:val="auto"/>
              </w:rPr>
              <w:t>Period (In Years)</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34"/>
              <w:spacing w:after="0" w:line="125" w:lineRule="exact"/>
              <w:rPr>
                <w:sz w:val="20"/>
                <w:szCs w:val="20"/>
                <w:color w:val="auto"/>
              </w:rPr>
            </w:pPr>
            <w:r>
              <w:rPr>
                <w:rFonts w:ascii="Arial" w:cs="Arial" w:eastAsia="Arial" w:hAnsi="Arial"/>
                <w:sz w:val="14"/>
                <w:szCs w:val="14"/>
                <w:b w:val="1"/>
                <w:bCs w:val="1"/>
                <w:color w:val="auto"/>
              </w:rPr>
              <w:t>Value</w:t>
            </w:r>
          </w:p>
        </w:tc>
        <w:tc>
          <w:tcPr>
            <w:tcW w:w="600" w:type="dxa"/>
            <w:vAlign w:val="bottom"/>
          </w:tcPr>
          <w:p>
            <w:pPr>
              <w:spacing w:after="0"/>
              <w:rPr>
                <w:sz w:val="12"/>
                <w:szCs w:val="12"/>
                <w:color w:val="auto"/>
              </w:rPr>
            </w:pPr>
          </w:p>
        </w:tc>
        <w:tc>
          <w:tcPr>
            <w:tcW w:w="1420" w:type="dxa"/>
            <w:vAlign w:val="bottom"/>
            <w:gridSpan w:val="3"/>
          </w:tcPr>
          <w:p>
            <w:pPr>
              <w:jc w:val="right"/>
              <w:ind w:right="600"/>
              <w:spacing w:after="0" w:line="125" w:lineRule="exact"/>
              <w:rPr>
                <w:sz w:val="20"/>
                <w:szCs w:val="20"/>
                <w:color w:val="auto"/>
              </w:rPr>
            </w:pPr>
            <w:r>
              <w:rPr>
                <w:rFonts w:ascii="Arial" w:cs="Arial" w:eastAsia="Arial" w:hAnsi="Arial"/>
                <w:sz w:val="14"/>
                <w:szCs w:val="14"/>
                <w:b w:val="1"/>
                <w:bCs w:val="1"/>
                <w:color w:val="auto"/>
                <w:w w:val="93"/>
              </w:rPr>
              <w:t>Amortization</w:t>
            </w:r>
          </w:p>
        </w:tc>
        <w:tc>
          <w:tcPr>
            <w:tcW w:w="180" w:type="dxa"/>
            <w:vAlign w:val="bottom"/>
          </w:tcPr>
          <w:p>
            <w:pPr>
              <w:spacing w:after="0"/>
              <w:rPr>
                <w:sz w:val="12"/>
                <w:szCs w:val="12"/>
                <w:color w:val="auto"/>
              </w:rPr>
            </w:pPr>
          </w:p>
        </w:tc>
        <w:tc>
          <w:tcPr>
            <w:tcW w:w="680" w:type="dxa"/>
            <w:vAlign w:val="bottom"/>
            <w:gridSpan w:val="2"/>
          </w:tcPr>
          <w:p>
            <w:pPr>
              <w:jc w:val="right"/>
              <w:ind w:right="280"/>
              <w:spacing w:after="0" w:line="125"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1480" w:type="dxa"/>
            <w:vAlign w:val="bottom"/>
            <w:tcBorders>
              <w:top w:val="single" w:sz="8" w:color="auto"/>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w w:val="84"/>
              </w:rPr>
              <w:t>IT Staffing Services:</w:t>
            </w:r>
          </w:p>
        </w:tc>
        <w:tc>
          <w:tcPr>
            <w:tcW w:w="19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360"/>
              <w:spacing w:after="0"/>
              <w:rPr>
                <w:sz w:val="20"/>
                <w:szCs w:val="20"/>
                <w:color w:val="auto"/>
              </w:rPr>
            </w:pPr>
            <w:r>
              <w:rPr>
                <w:rFonts w:ascii="Arial" w:cs="Arial" w:eastAsia="Arial" w:hAnsi="Arial"/>
                <w:sz w:val="18"/>
                <w:szCs w:val="18"/>
                <w:color w:val="auto"/>
              </w:rPr>
              <w:t>Client relationships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8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7,999</w:t>
            </w:r>
          </w:p>
        </w:tc>
        <w:tc>
          <w:tcPr>
            <w:tcW w:w="8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5,360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Covenant-not-to-compete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319</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gridSpan w:val="2"/>
          </w:tcPr>
          <w:p>
            <w:pPr>
              <w:ind w:left="360"/>
              <w:spacing w:after="0"/>
              <w:rPr>
                <w:sz w:val="20"/>
                <w:szCs w:val="20"/>
                <w:color w:val="auto"/>
              </w:rPr>
            </w:pPr>
            <w:r>
              <w:rPr>
                <w:rFonts w:ascii="Arial" w:cs="Arial" w:eastAsia="Arial" w:hAnsi="Arial"/>
                <w:sz w:val="18"/>
                <w:szCs w:val="18"/>
                <w:color w:val="auto"/>
              </w:rPr>
              <w:t>Trade name</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249</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249</w:t>
            </w:r>
          </w:p>
        </w:tc>
        <w:tc>
          <w:tcPr>
            <w:tcW w:w="1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Data and Analytics Services: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360"/>
              <w:spacing w:after="0"/>
              <w:rPr>
                <w:sz w:val="20"/>
                <w:szCs w:val="20"/>
                <w:color w:val="auto"/>
              </w:rPr>
            </w:pPr>
            <w:r>
              <w:rPr>
                <w:rFonts w:ascii="Arial" w:cs="Arial" w:eastAsia="Arial" w:hAnsi="Arial"/>
                <w:sz w:val="18"/>
                <w:szCs w:val="18"/>
                <w:color w:val="auto"/>
              </w:rPr>
              <w:t>Client relationships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19,641</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8,959</w:t>
            </w: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10,682</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Covenant-not-to-compete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1,003</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3460" w:type="dxa"/>
            <w:vAlign w:val="bottom"/>
            <w:gridSpan w:val="2"/>
          </w:tcPr>
          <w:p>
            <w:pPr>
              <w:ind w:left="360"/>
              <w:spacing w:after="0"/>
              <w:rPr>
                <w:sz w:val="20"/>
                <w:szCs w:val="20"/>
                <w:color w:val="auto"/>
              </w:rPr>
            </w:pPr>
            <w:r>
              <w:rPr>
                <w:rFonts w:ascii="Arial" w:cs="Arial" w:eastAsia="Arial" w:hAnsi="Arial"/>
                <w:sz w:val="18"/>
                <w:szCs w:val="18"/>
                <w:color w:val="auto"/>
              </w:rPr>
              <w:t>Trade name</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1,711</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1,490</w:t>
            </w: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1,332</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23"/>
        </w:trPr>
        <w:tc>
          <w:tcPr>
            <w:tcW w:w="3460" w:type="dxa"/>
            <w:vAlign w:val="bottom"/>
            <w:gridSpan w:val="2"/>
          </w:tcPr>
          <w:p>
            <w:pPr>
              <w:ind w:left="540"/>
              <w:spacing w:after="0"/>
              <w:rPr>
                <w:sz w:val="20"/>
                <w:szCs w:val="20"/>
                <w:color w:val="auto"/>
              </w:rPr>
            </w:pPr>
            <w:r>
              <w:rPr>
                <w:rFonts w:ascii="Arial" w:cs="Arial" w:eastAsia="Arial" w:hAnsi="Arial"/>
                <w:sz w:val="18"/>
                <w:szCs w:val="18"/>
                <w:b w:val="1"/>
                <w:bCs w:val="1"/>
                <w:color w:val="auto"/>
              </w:rPr>
              <w:t>Total Intangible Assets</w:t>
            </w: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33,099</w:t>
            </w:r>
          </w:p>
        </w:tc>
        <w:tc>
          <w:tcPr>
            <w:tcW w:w="6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18,712</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20" w:type="dxa"/>
            <w:vAlign w:val="bottom"/>
            <w:gridSpan w:val="2"/>
            <w:vMerge w:val="restart"/>
          </w:tcPr>
          <w:p>
            <w:pPr>
              <w:jc w:val="right"/>
              <w:ind w:right="453"/>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4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702" w:right="4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1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1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As of December 31, 2022</w:t>
            </w: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140" w:type="dxa"/>
            <w:vAlign w:val="bottom"/>
          </w:tcPr>
          <w:p>
            <w:pPr>
              <w:spacing w:after="0"/>
              <w:rPr>
                <w:sz w:val="10"/>
                <w:szCs w:val="10"/>
                <w:color w:val="auto"/>
              </w:rPr>
            </w:pPr>
          </w:p>
        </w:tc>
        <w:tc>
          <w:tcPr>
            <w:tcW w:w="164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rPr>
              <w:t>Amortization</w:t>
            </w: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9"/>
              </w:rPr>
              <w:t>Gross Carrying</w:t>
            </w:r>
          </w:p>
        </w:tc>
        <w:tc>
          <w:tcPr>
            <w:tcW w:w="2020" w:type="dxa"/>
            <w:vAlign w:val="bottom"/>
            <w:gridSpan w:val="4"/>
          </w:tcPr>
          <w:p>
            <w:pPr>
              <w:jc w:val="right"/>
              <w:ind w:right="580"/>
              <w:spacing w:after="0" w:line="119" w:lineRule="exact"/>
              <w:rPr>
                <w:sz w:val="20"/>
                <w:szCs w:val="20"/>
                <w:color w:val="auto"/>
              </w:rPr>
            </w:pPr>
            <w:r>
              <w:rPr>
                <w:rFonts w:ascii="Arial" w:cs="Arial" w:eastAsia="Arial" w:hAnsi="Arial"/>
                <w:sz w:val="13"/>
                <w:szCs w:val="13"/>
                <w:b w:val="1"/>
                <w:bCs w:val="1"/>
                <w:color w:val="auto"/>
              </w:rPr>
              <w:t>Accumulative</w:t>
            </w: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Carrying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500" w:type="dxa"/>
            <w:vAlign w:val="bottom"/>
            <w:gridSpan w:val="2"/>
            <w:vMerge w:val="continue"/>
          </w:tcPr>
          <w:p>
            <w:pPr>
              <w:spacing w:after="0"/>
              <w:rPr>
                <w:sz w:val="12"/>
                <w:szCs w:val="12"/>
                <w:color w:val="auto"/>
              </w:rPr>
            </w:pPr>
          </w:p>
        </w:tc>
        <w:tc>
          <w:tcPr>
            <w:tcW w:w="2780" w:type="dxa"/>
            <w:vAlign w:val="bottom"/>
            <w:gridSpan w:val="3"/>
          </w:tcPr>
          <w:p>
            <w:pPr>
              <w:jc w:val="center"/>
              <w:ind w:left="432"/>
              <w:spacing w:after="0" w:line="125" w:lineRule="exact"/>
              <w:rPr>
                <w:sz w:val="20"/>
                <w:szCs w:val="20"/>
                <w:color w:val="auto"/>
              </w:rPr>
            </w:pPr>
            <w:r>
              <w:rPr>
                <w:rFonts w:ascii="Arial" w:cs="Arial" w:eastAsia="Arial" w:hAnsi="Arial"/>
                <w:sz w:val="14"/>
                <w:szCs w:val="14"/>
                <w:b w:val="1"/>
                <w:bCs w:val="1"/>
                <w:color w:val="auto"/>
                <w:w w:val="95"/>
              </w:rPr>
              <w:t>Period (In Years)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34"/>
              <w:spacing w:after="0" w:line="125" w:lineRule="exact"/>
              <w:rPr>
                <w:sz w:val="20"/>
                <w:szCs w:val="20"/>
                <w:color w:val="auto"/>
              </w:rPr>
            </w:pPr>
            <w:r>
              <w:rPr>
                <w:rFonts w:ascii="Arial" w:cs="Arial" w:eastAsia="Arial" w:hAnsi="Arial"/>
                <w:sz w:val="14"/>
                <w:szCs w:val="14"/>
                <w:b w:val="1"/>
                <w:bCs w:val="1"/>
                <w:color w:val="auto"/>
              </w:rPr>
              <w:t>Value</w:t>
            </w:r>
          </w:p>
        </w:tc>
        <w:tc>
          <w:tcPr>
            <w:tcW w:w="600" w:type="dxa"/>
            <w:vAlign w:val="bottom"/>
          </w:tcPr>
          <w:p>
            <w:pPr>
              <w:spacing w:after="0"/>
              <w:rPr>
                <w:sz w:val="12"/>
                <w:szCs w:val="12"/>
                <w:color w:val="auto"/>
              </w:rPr>
            </w:pPr>
          </w:p>
        </w:tc>
        <w:tc>
          <w:tcPr>
            <w:tcW w:w="1420" w:type="dxa"/>
            <w:vAlign w:val="bottom"/>
            <w:gridSpan w:val="3"/>
          </w:tcPr>
          <w:p>
            <w:pPr>
              <w:jc w:val="right"/>
              <w:ind w:right="600"/>
              <w:spacing w:after="0" w:line="125" w:lineRule="exact"/>
              <w:rPr>
                <w:sz w:val="20"/>
                <w:szCs w:val="20"/>
                <w:color w:val="auto"/>
              </w:rPr>
            </w:pPr>
            <w:r>
              <w:rPr>
                <w:rFonts w:ascii="Arial" w:cs="Arial" w:eastAsia="Arial" w:hAnsi="Arial"/>
                <w:sz w:val="14"/>
                <w:szCs w:val="14"/>
                <w:b w:val="1"/>
                <w:bCs w:val="1"/>
                <w:color w:val="auto"/>
                <w:w w:val="93"/>
              </w:rPr>
              <w:t>Amortization</w:t>
            </w:r>
          </w:p>
        </w:tc>
        <w:tc>
          <w:tcPr>
            <w:tcW w:w="180" w:type="dxa"/>
            <w:vAlign w:val="bottom"/>
          </w:tcPr>
          <w:p>
            <w:pPr>
              <w:spacing w:after="0"/>
              <w:rPr>
                <w:sz w:val="12"/>
                <w:szCs w:val="12"/>
                <w:color w:val="auto"/>
              </w:rPr>
            </w:pPr>
          </w:p>
        </w:tc>
        <w:tc>
          <w:tcPr>
            <w:tcW w:w="680" w:type="dxa"/>
            <w:vAlign w:val="bottom"/>
            <w:gridSpan w:val="2"/>
          </w:tcPr>
          <w:p>
            <w:pPr>
              <w:jc w:val="right"/>
              <w:ind w:right="280"/>
              <w:spacing w:after="0" w:line="125"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1480" w:type="dxa"/>
            <w:vAlign w:val="bottom"/>
            <w:tcBorders>
              <w:top w:val="single" w:sz="8" w:color="auto"/>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w w:val="84"/>
              </w:rPr>
              <w:t>IT Staffing Services:</w:t>
            </w:r>
          </w:p>
        </w:tc>
        <w:tc>
          <w:tcPr>
            <w:tcW w:w="20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ind w:left="360"/>
              <w:spacing w:after="0"/>
              <w:rPr>
                <w:sz w:val="20"/>
                <w:szCs w:val="20"/>
                <w:color w:val="auto"/>
              </w:rPr>
            </w:pPr>
            <w:r>
              <w:rPr>
                <w:rFonts w:ascii="Arial" w:cs="Arial" w:eastAsia="Arial" w:hAnsi="Arial"/>
                <w:sz w:val="18"/>
                <w:szCs w:val="18"/>
                <w:color w:val="auto"/>
              </w:rPr>
              <w:t>Client relationships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7,999</w:t>
            </w:r>
          </w:p>
        </w:tc>
        <w:tc>
          <w:tcPr>
            <w:tcW w:w="9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5,027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Covenant-not-to-compete</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319</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2"/>
          </w:tcPr>
          <w:p>
            <w:pPr>
              <w:ind w:left="360"/>
              <w:spacing w:after="0"/>
              <w:rPr>
                <w:sz w:val="20"/>
                <w:szCs w:val="20"/>
                <w:color w:val="auto"/>
              </w:rPr>
            </w:pPr>
            <w:r>
              <w:rPr>
                <w:rFonts w:ascii="Arial" w:cs="Arial" w:eastAsia="Arial" w:hAnsi="Arial"/>
                <w:sz w:val="18"/>
                <w:szCs w:val="18"/>
                <w:color w:val="auto"/>
              </w:rPr>
              <w:t>Trade name</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249</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249</w:t>
            </w:r>
          </w:p>
        </w:tc>
        <w:tc>
          <w:tcPr>
            <w:tcW w:w="1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Data and Analytics Services:</w:t>
            </w:r>
          </w:p>
        </w:tc>
        <w:tc>
          <w:tcPr>
            <w:tcW w:w="1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ind w:left="360"/>
              <w:spacing w:after="0"/>
              <w:rPr>
                <w:sz w:val="20"/>
                <w:szCs w:val="20"/>
                <w:color w:val="auto"/>
              </w:rPr>
            </w:pPr>
            <w:r>
              <w:rPr>
                <w:rFonts w:ascii="Arial" w:cs="Arial" w:eastAsia="Arial" w:hAnsi="Arial"/>
                <w:sz w:val="18"/>
                <w:szCs w:val="18"/>
                <w:color w:val="auto"/>
              </w:rPr>
              <w:t>Client relationships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19,641</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8,140</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Covenant-not-to-compete</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959</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3500" w:type="dxa"/>
            <w:vAlign w:val="bottom"/>
            <w:gridSpan w:val="2"/>
          </w:tcPr>
          <w:p>
            <w:pPr>
              <w:ind w:left="360"/>
              <w:spacing w:after="0"/>
              <w:rPr>
                <w:sz w:val="20"/>
                <w:szCs w:val="20"/>
                <w:color w:val="auto"/>
              </w:rPr>
            </w:pPr>
            <w:r>
              <w:rPr>
                <w:rFonts w:ascii="Arial" w:cs="Arial" w:eastAsia="Arial" w:hAnsi="Arial"/>
                <w:sz w:val="18"/>
                <w:szCs w:val="18"/>
                <w:color w:val="auto"/>
              </w:rPr>
              <w:t>Trade name</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1,711</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1,441</w:t>
            </w: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1,191</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23"/>
        </w:trPr>
        <w:tc>
          <w:tcPr>
            <w:tcW w:w="3500" w:type="dxa"/>
            <w:vAlign w:val="bottom"/>
            <w:gridSpan w:val="2"/>
          </w:tcPr>
          <w:p>
            <w:pPr>
              <w:ind w:left="640"/>
              <w:spacing w:after="0"/>
              <w:rPr>
                <w:sz w:val="20"/>
                <w:szCs w:val="20"/>
                <w:color w:val="auto"/>
              </w:rPr>
            </w:pPr>
            <w:r>
              <w:rPr>
                <w:rFonts w:ascii="Arial" w:cs="Arial" w:eastAsia="Arial" w:hAnsi="Arial"/>
                <w:sz w:val="18"/>
                <w:szCs w:val="18"/>
                <w:b w:val="1"/>
                <w:bCs w:val="1"/>
                <w:color w:val="auto"/>
              </w:rPr>
              <w:t>Total Intangible Assets</w:t>
            </w:r>
          </w:p>
        </w:tc>
        <w:tc>
          <w:tcPr>
            <w:tcW w:w="1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33,099</w:t>
            </w:r>
          </w:p>
        </w:tc>
        <w:tc>
          <w:tcPr>
            <w:tcW w:w="6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17,326</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Amortization expense for the three and six-month periods ended June 30, 2023, totaled $693,000 and $1.4 million, respectively and is included in selling, general and administrative expenses in the Condensed Consolidated Statement of Operations. For the three and six month periods ended June 30, 2022, amortization expense was $792,000 and $1.6 million, respectively.</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estimated aggregate amortization expense for intangible assets for the years ending December 31, 2023, through December 31, 2027, is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7460" w:type="dxa"/>
            <w:vAlign w:val="bottom"/>
          </w:tcPr>
          <w:p>
            <w:pPr>
              <w:spacing w:after="0"/>
              <w:rPr>
                <w:sz w:val="12"/>
                <w:szCs w:val="12"/>
                <w:color w:val="auto"/>
              </w:rPr>
            </w:pPr>
          </w:p>
        </w:tc>
        <w:tc>
          <w:tcPr>
            <w:tcW w:w="5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2"/>
                <w:szCs w:val="12"/>
                <w:color w:val="auto"/>
              </w:rPr>
            </w:pPr>
          </w:p>
        </w:tc>
        <w:tc>
          <w:tcPr>
            <w:tcW w:w="5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2"/>
                <w:szCs w:val="12"/>
                <w:color w:val="auto"/>
              </w:rPr>
            </w:pPr>
          </w:p>
        </w:tc>
        <w:tc>
          <w:tcPr>
            <w:tcW w:w="4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2"/>
                <w:szCs w:val="12"/>
                <w:color w:val="auto"/>
              </w:rPr>
            </w:pPr>
          </w:p>
        </w:tc>
        <w:tc>
          <w:tcPr>
            <w:tcW w:w="5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2026</w:t>
            </w:r>
          </w:p>
        </w:tc>
        <w:tc>
          <w:tcPr>
            <w:tcW w:w="260" w:type="dxa"/>
            <w:vAlign w:val="bottom"/>
          </w:tcPr>
          <w:p>
            <w:pPr>
              <w:spacing w:after="0"/>
              <w:rPr>
                <w:sz w:val="12"/>
                <w:szCs w:val="12"/>
                <w:color w:val="auto"/>
              </w:rPr>
            </w:pPr>
          </w:p>
        </w:tc>
        <w:tc>
          <w:tcPr>
            <w:tcW w:w="5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2027</w:t>
            </w:r>
          </w:p>
        </w:tc>
        <w:tc>
          <w:tcPr>
            <w:tcW w:w="40" w:type="dxa"/>
            <w:vAlign w:val="bottom"/>
          </w:tcPr>
          <w:p>
            <w:pPr>
              <w:spacing w:after="0"/>
              <w:rPr>
                <w:sz w:val="12"/>
                <w:szCs w:val="12"/>
                <w:color w:val="auto"/>
              </w:rPr>
            </w:pPr>
          </w:p>
        </w:tc>
      </w:tr>
      <w:tr>
        <w:trPr>
          <w:trHeight w:val="156"/>
        </w:trPr>
        <w:tc>
          <w:tcPr>
            <w:tcW w:w="7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0" w:type="dxa"/>
            <w:vAlign w:val="bottom"/>
            <w:gridSpan w:val="5"/>
          </w:tcPr>
          <w:p>
            <w:pPr>
              <w:jc w:val="center"/>
              <w:spacing w:after="0" w:line="155" w:lineRule="exact"/>
              <w:rPr>
                <w:sz w:val="20"/>
                <w:szCs w:val="20"/>
                <w:color w:val="auto"/>
              </w:rPr>
            </w:pPr>
            <w:r>
              <w:rPr>
                <w:rFonts w:ascii="Arial" w:cs="Arial" w:eastAsia="Arial" w:hAnsi="Arial"/>
                <w:sz w:val="14"/>
                <w:szCs w:val="14"/>
                <w:b w:val="1"/>
                <w:bCs w:val="1"/>
                <w:color w:val="auto"/>
                <w:w w:val="91"/>
              </w:rPr>
              <w:t>(Amounts in thousands)</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$2,772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$2,553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$2,413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40" w:type="dxa"/>
            <w:vAlign w:val="bottom"/>
            <w:shd w:val="clear" w:color="auto" w:fill="CCEEFF"/>
          </w:tcPr>
          <w:p>
            <w:pPr>
              <w:spacing w:after="0"/>
              <w:rPr>
                <w:sz w:val="18"/>
                <w:szCs w:val="18"/>
                <w:color w:val="auto"/>
              </w:rPr>
            </w:pPr>
          </w:p>
        </w:tc>
      </w:tr>
    </w:tbl>
    <w:p>
      <w:pPr>
        <w:spacing w:after="0" w:line="346" w:lineRule="exact"/>
        <w:rPr>
          <w:sz w:val="20"/>
          <w:szCs w:val="20"/>
          <w:color w:val="auto"/>
        </w:rPr>
      </w:pPr>
    </w:p>
    <w:p>
      <w:pPr>
        <w:ind w:left="560" w:hanging="444"/>
        <w:spacing w:after="0"/>
        <w:tabs>
          <w:tab w:leader="none" w:pos="5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Company rents certain office facilities and equipment under noncancelable operating leases. As of June 30, 2023, approximately 96,000 square feet of office space is utilized for our sales and recruiting offices, delivery centers, and corporate headquarters. All our leases are classified as operating leases. The average initial lease term is 4.9 years. Several leases have an option to renew, at our sole discretion, for an additional term. Our present lease terms range from less than one year to 3.8 years, with a weighted average of 3.0 years. Leases with an initial term of 12 months or less are not recorded on the balance sheet.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balance sheet classification of the lease assets and related lease liabilities: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0"/>
              </w:rPr>
              <w:t>June 30, 2023</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2022</w:t>
            </w:r>
          </w:p>
        </w:tc>
      </w:tr>
      <w:tr>
        <w:trPr>
          <w:trHeight w:val="20"/>
        </w:trPr>
        <w:tc>
          <w:tcPr>
            <w:tcW w:w="5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5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Long-term operating lease right-of-use assets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3,118</w:t>
            </w:r>
          </w:p>
        </w:tc>
        <w:tc>
          <w:tcPr>
            <w:tcW w:w="12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3,886</w:t>
            </w:r>
          </w:p>
        </w:tc>
        <w:tc>
          <w:tcPr>
            <w:tcW w:w="40" w:type="dxa"/>
            <w:vAlign w:val="bottom"/>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Short-term operating lease liability</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1,228</w:t>
            </w:r>
          </w:p>
        </w:tc>
        <w:tc>
          <w:tcPr>
            <w:tcW w:w="12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1,504</w:t>
            </w:r>
          </w:p>
        </w:tc>
        <w:tc>
          <w:tcPr>
            <w:tcW w:w="40" w:type="dxa"/>
            <w:vAlign w:val="bottom"/>
          </w:tcPr>
          <w:p>
            <w:pPr>
              <w:spacing w:after="0"/>
              <w:rPr>
                <w:sz w:val="18"/>
                <w:szCs w:val="18"/>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operating lease liability</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1,851</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40" w:type="dxa"/>
            <w:vAlign w:val="bottom"/>
            <w:shd w:val="clear" w:color="auto" w:fill="CCEEFF"/>
          </w:tcPr>
          <w:p>
            <w:pPr>
              <w:spacing w:after="0"/>
              <w:rPr>
                <w:sz w:val="18"/>
                <w:szCs w:val="18"/>
                <w:color w:val="auto"/>
              </w:rPr>
            </w:pPr>
          </w:p>
        </w:tc>
      </w:tr>
      <w:tr>
        <w:trPr>
          <w:trHeight w:val="223"/>
        </w:trPr>
        <w:tc>
          <w:tcPr>
            <w:tcW w:w="55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3,079</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3,798</w:t>
            </w:r>
          </w:p>
        </w:tc>
        <w:tc>
          <w:tcPr>
            <w:tcW w:w="4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Future minimum rental payments for office facilities and equipment under the Company’s noncancelable operating leases are as follows:</w:t>
      </w:r>
    </w:p>
    <w:p>
      <w:pPr>
        <w:spacing w:after="0" w:line="24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as of</w:t>
            </w: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June 30, 2023</w:t>
            </w: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2023 (for remainder of year)</w:t>
            </w:r>
          </w:p>
        </w:tc>
        <w:tc>
          <w:tcPr>
            <w:tcW w:w="20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2024</w:t>
            </w: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2026</w:t>
            </w: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Thereafter</w:t>
            </w: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Less: Imputed interest</w:t>
            </w: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operating lease liabilities</w:t>
            </w:r>
          </w:p>
        </w:tc>
        <w:tc>
          <w:tcPr>
            <w:tcW w:w="176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140"/>
          </w:cols>
          <w:pgMar w:left="320" w:top="702" w:right="439" w:bottom="1440" w:gutter="0" w:footer="0" w:header="0"/>
        </w:sectPr>
      </w:pPr>
    </w:p>
    <w:p>
      <w:pPr>
        <w:jc w:val="center"/>
        <w:ind w:right="-1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140"/>
          </w:cols>
          <w:pgMar w:left="320" w:top="702" w:right="4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weighted average discount rate used to calculate the present value of future lease payments was 3.7%.</w:t>
      </w:r>
    </w:p>
    <w:p>
      <w:pPr>
        <w:spacing w:after="0" w:line="21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recognize rent expense for these leases on a straight-line basis over the lease term. Rental expense for the three and six months ended June 30, 2023, totaled $0.4 million and $0.8 million, respectively. Rental expense for the three and six months ended June 30, 2022, totaled $0.5 million and $0.9 million, respectively.</w:t>
      </w:r>
    </w:p>
    <w:p>
      <w:pPr>
        <w:spacing w:after="0" w:line="184"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Total cash paid for lease liabilities for the three and six months ended June 30, 2023, totaled $0.4 million and $0.8 million, respectively. Total cash paid for lease liabilities for the three and six months ended June 30, 2022, totaled $0.5 million and $0.9 million, respectively.</w:t>
      </w:r>
    </w:p>
    <w:p>
      <w:pPr>
        <w:spacing w:after="0" w:line="146"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New leases entered into during the three and six months ended June 30, 2023, totaled zero dollars. New leases entered into during the three and six months ended June 30, 2022, totaled zero dollars and $0.5 million, respectively. New leases are considered non-cash transactions.</w:t>
      </w:r>
    </w:p>
    <w:p>
      <w:pPr>
        <w:spacing w:after="0" w:line="291" w:lineRule="exact"/>
        <w:rPr>
          <w:sz w:val="20"/>
          <w:szCs w:val="20"/>
          <w:color w:val="auto"/>
        </w:rPr>
      </w:pPr>
    </w:p>
    <w:p>
      <w:pPr>
        <w:ind w:left="560" w:hanging="444"/>
        <w:spacing w:after="0"/>
        <w:tabs>
          <w:tab w:leader="none" w:pos="5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In December 2022, the Company received a demand letter from the attorney of a former employee who resigned from his employment with the Company in November 2022. Among other allegations in the letter, this former employee has asserted various employment-related claims against the Company, including a claim of wrongful termination. No lawsuit has been filed to date, and the parties currently are in negotiations to reach a resolution. For the three and six months ended June 30, 2023, the Company incurred $600,000 and $1 million, respectively, of professional service fees related to this matter. Additionally, the Company recorded a $3.1 million loss reserve, net of recoveries in the second quarter of 2023, with respect to an estimated settlement. These expenses are included in Selling, General and Administrative expenses in the Condensed Consolidated Statement of Operations. Please refer to Note 14 – Subsequent Event for additional information regarding this matter.</w:t>
      </w:r>
    </w:p>
    <w:p>
      <w:pPr>
        <w:spacing w:after="0" w:line="17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In the ordinary course of our business, the Company is involved in several lawsuits. While uncertainties are inherent in the final outcome of these matters, the Company’s management believes, after consultation with legal counsel, that the disposition of these proceedings should not have a material adverse effect on our financial position, results of operations or cash flows.</w:t>
      </w:r>
    </w:p>
    <w:p>
      <w:pPr>
        <w:spacing w:after="0" w:line="328" w:lineRule="exact"/>
        <w:rPr>
          <w:sz w:val="20"/>
          <w:szCs w:val="20"/>
          <w:color w:val="auto"/>
        </w:rPr>
      </w:pPr>
    </w:p>
    <w:p>
      <w:pPr>
        <w:ind w:left="560" w:hanging="444"/>
        <w:spacing w:after="0"/>
        <w:tabs>
          <w:tab w:leader="none" w:pos="5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Company provides an Employee Retirement Savings Plan (the “Retirement Plan”) under Section 401(k) of the Internal Revenue Code of 1986, as amended (the “Code”), that covers substantially all U.S. based salaried and W-2 hourly employees. Employees may contribute a percentage of eligible compensation to the Retirement Plan, subject to certain limits under the Code. The Company did not provide for any matching contributions for the three and six months ended June 30, 2023, and 2022.</w:t>
      </w:r>
    </w:p>
    <w:p>
      <w:pPr>
        <w:spacing w:after="0" w:line="331" w:lineRule="exact"/>
        <w:rPr>
          <w:sz w:val="20"/>
          <w:szCs w:val="20"/>
          <w:color w:val="auto"/>
        </w:rPr>
      </w:pPr>
    </w:p>
    <w:p>
      <w:pPr>
        <w:ind w:left="560" w:hanging="444"/>
        <w:spacing w:after="0"/>
        <w:tabs>
          <w:tab w:leader="none" w:pos="5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2008, the Company adopted a Stock Incentive Plan (as amended from time to time, the “Plan”) which provided that up to 4,900,000 shares of the Company’s common stock, par value $0.01 per share (“Common Stock”) should be allocated for issuance to directors, officers and key personnel. On May 10, 2023, the Plan was further amended to increase the number of shares of Common Stock that may be issued pursuant to the Plan by 500,000 shares, to a total of 5,400,000. Grants under the Plan may be made in the form of stock options, stock appreciation rights, performance shares or stock awards.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During the three months ended June 30, 2023, the Company granted zero restricted share units and 25,000 stock options, with a strike price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$10.06, under the Plan. During the three months ended June 30, 2022, the Company granted 2,675 restricted share units and zero stock options under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During the six months ended June 30, 2023, the Company granted 19,924 restricted share units and 125,000 stock options, with an average strike price of $11.24, under the Plan. During the six months ended June 30, 2022, the Company granted 13,979 restricted share units and 400,000 stock options, with an average strike price of $18.41, under the Plan. As of June 30, 2023, there were 505,000 shares of Common Stock available for grants under the Plan.</w:t>
      </w:r>
    </w:p>
    <w:p>
      <w:pPr>
        <w:spacing w:after="0" w:line="187"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Stock-based compensation expense for the three months ended June 30, 2023 and 2022 was $842,000 and $752,000, respectively, and for the six months ended June 30, 2023, and 2022 was $1.7 million and $1.3 million, respectively. Stock-based compensation expense is included in selling, general and administrative expenses in the Condensed Consolidated Statements of Operations.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702"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During the three and six months ended June 30, 2023, the Company issued zero and 17,804 shares, respectively, related to the grant of restricted share units and the exercise of stock options. During the three and six months ended June 30, 2022, the Company issued 46,765 and 158,932 shares, respectively, related to the grant of restricted share units and the exercise of stock options.</w:t>
      </w:r>
    </w:p>
    <w:p>
      <w:pPr>
        <w:spacing w:after="0" w:line="18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October 2018, the Board of Directors of the Company approved the Mastech Digital, Inc. 2019 Employee Stock Purchase Plan (the “Employee Stock Purchase Plan”). The Employee Stock Purchase Plan is intended to meet the requirements of Section 423 of the Code and was approved by the Company’s shareholders on May 15, 2019, to be so qualified. Under the Employee Stock Purchase Plan, 600,000 shares of Common Stock (subject to adjustment upon certain changes in the Company’s capitalization) are available for purchase by eligible employees who become participants in the Employee Stock Purchase Plan. The purchase price per share is 85% of the lesser of (i) the fair market value per share of Common Stock on the first day of the offering period, or (ii) the fair market value per share of Common Stock on the last day of the offering period.</w:t>
      </w:r>
    </w:p>
    <w:p>
      <w:pPr>
        <w:spacing w:after="0" w:line="164" w:lineRule="exact"/>
        <w:rPr>
          <w:sz w:val="20"/>
          <w:szCs w:val="20"/>
          <w:color w:val="auto"/>
        </w:rPr>
      </w:pPr>
    </w:p>
    <w:p>
      <w:pPr>
        <w:jc w:val="both"/>
        <w:ind w:left="120" w:right="100" w:firstLine="440"/>
        <w:spacing w:after="0" w:line="287" w:lineRule="auto"/>
        <w:rPr>
          <w:sz w:val="20"/>
          <w:szCs w:val="20"/>
          <w:color w:val="auto"/>
        </w:rPr>
      </w:pPr>
      <w:r>
        <w:rPr>
          <w:rFonts w:ascii="Arial" w:cs="Arial" w:eastAsia="Arial" w:hAnsi="Arial"/>
          <w:sz w:val="16"/>
          <w:szCs w:val="16"/>
          <w:color w:val="auto"/>
        </w:rPr>
        <w:t>The Company’s eligible full-time employees are able to contribute up to 15% of their base compensation into the Employee Stock Purchase Plan, subject to an annual limit of $25,000. Employees are able to purchase shares of Common Stock at a 15% discount to the lower of the fair market value of Common Stock on the initial or final trading dates of each six-month offering period. Offering periods begin on January 1 and July 1 of each year.</w:t>
      </w:r>
    </w:p>
    <w:p>
      <w:pPr>
        <w:spacing w:after="0" w:line="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The Company uses the Black-Scholes option pricing model to determine the fair value of Employee Stock Purchase Plan share-based payments. The fair value of the six-month “look-back” option in the Company’s Employee Stock Purchase Plan is estimated by adding the fair value of 15% of one share of stock to 85% of the fair value of an option on one share of stock. The Company utilized U.S. Treasury yields as of the grant date for its risk-free interest rate assumption, matching the Treasury yield terms to the six-month offering period. The Company utilized historical company data to develop its dividend yield and expected volatility assumptions.</w:t>
      </w:r>
    </w:p>
    <w:p>
      <w:pPr>
        <w:spacing w:after="0" w:line="19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During the three and six months ended June 30, 2023, and 2022, there were 17,890 shares and 15,765 shares issued under the Employee Stock Purchase Plan, at a share price of $8.40 and $12.63, respectively. Stock-based compensation expense related to the Stock Purchase Plan for the three months ended June 30, 2023, and 2022 totaled $38,000 and $30,000, respectively. Stock-based compensation expense related to the Stock Purchase Plan for the six months ended June 30, 2023, and 2022 totaled $68,000 and $70,000, respectively, and is included in selling, general and administrative expenses in the Condensed Consolidated Statements of Operations for the six months ended June 30, 2023, and 2022. As of June 30, 2023, there were 474,675 shares of Common Stock available for purchases under the Employee Stock Purchase Plan.</w:t>
      </w:r>
    </w:p>
    <w:p>
      <w:pPr>
        <w:spacing w:after="0" w:line="322" w:lineRule="exact"/>
        <w:rPr>
          <w:sz w:val="20"/>
          <w:szCs w:val="20"/>
          <w:color w:val="auto"/>
        </w:rPr>
      </w:pPr>
    </w:p>
    <w:p>
      <w:pPr>
        <w:ind w:left="560" w:hanging="444"/>
        <w:spacing w:after="0"/>
        <w:tabs>
          <w:tab w:leader="none" w:pos="5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w:t>
      </w:r>
    </w:p>
    <w:p>
      <w:pPr>
        <w:spacing w:after="0" w:line="121"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On July 13, 2017, the Company entered into a Credit Agreement (the “Credit Agreement”) with PNC Bank, as administrative agent, swing loan lender and issuing lender, PNC Capital Markets LLC, as sole lead arranger and sole book-runner, and certain financial institution parties thereto as lenders (the “Lenders”). The Credit Agreement, as amended, provides for a total aggregate commitment of $53.1 million, consisting of (i) a revolving credit facility (the “Revolver”) in an aggregate principal amount not to exceed $40 million and (ii) a $13.1 million term loan facility (the “Term Loan), as more fully described in Exhibit 10.1 to the Company’s Form 8-Ks filed with the SEC on July 19, 2017, April 25, 2018 and October 7, 2020, and Exhibit 10.2 to the Form 8-K/A filed with the SEC on January 4, 2022. Additionally, the facility includes an accordion feature for additional borrowing of up to $20 million upon satisfaction of certain conditions.</w:t>
      </w:r>
    </w:p>
    <w:p>
      <w:pPr>
        <w:spacing w:after="0" w:line="19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Revolver expires in December 2026 and includes swing loan and letter of credit sub-limits in the aggregate amount not to exceed $6.0 million for swing loans and $5.0 million for letters of credit. Borrowings under the Revolver may be denominated in U.S. dollars or Canadian dollars. The maximum borrowings in U.S. dollars may not exceed the sum of 85% of eligible U.S. accounts receivable and 60% of eligible U.S. unbilled receivables, less a reserve amount established by the administrative agent. The maximum borrowings in Canadian dollars may not exceed the lesser of (i)</w:t>
      </w:r>
    </w:p>
    <w:p>
      <w:pPr>
        <w:spacing w:after="0" w:line="1" w:lineRule="exact"/>
        <w:rPr>
          <w:sz w:val="20"/>
          <w:szCs w:val="20"/>
          <w:color w:val="auto"/>
        </w:rPr>
      </w:pPr>
    </w:p>
    <w:p>
      <w:pPr>
        <w:ind w:left="120" w:right="480"/>
        <w:spacing w:after="0" w:line="260" w:lineRule="auto"/>
        <w:rPr>
          <w:sz w:val="20"/>
          <w:szCs w:val="20"/>
          <w:color w:val="auto"/>
        </w:rPr>
      </w:pPr>
      <w:r>
        <w:rPr>
          <w:rFonts w:ascii="Arial" w:cs="Arial" w:eastAsia="Arial" w:hAnsi="Arial"/>
          <w:sz w:val="18"/>
          <w:szCs w:val="18"/>
          <w:color w:val="auto"/>
        </w:rPr>
        <w:t>$10.0 million; and (ii) the sum of 85% of eligible Canadian receivables, plus 60% of eligible Canadian unbilled receivables, less a reserve amount established by the administrative agent.</w:t>
      </w:r>
    </w:p>
    <w:p>
      <w:pPr>
        <w:spacing w:after="0" w:line="185"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Amounts borrowed under the Term Loan were required to be repaid in consecutive quarterly installments of $1.1 million through and including the maturity date of October 1, 2024. In August 2022, the Company prepaid $7.6 million of the outstanding term loan with excess cash balances. The final term loan payment was made on January 3, 2023, taking the outstanding balance to zero.</w:t>
      </w:r>
    </w:p>
    <w:p>
      <w:pPr>
        <w:spacing w:after="0" w:line="184"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Borrowings under the Revolver and the Term Loan, which may be made at the Company’s election, bear interest at either (a) the higher of PNC’s prime rate or the federal funds rate plus 0.50%, plus an applicable margin determined based upon the Company’s senior leverage ratio or (b) the Bloomberg Short-Term Bank Yield Index (“BSBY”), plus an applicable margin determined based upon the Company’s senior leverage ratio. The applicable margin on the base rate is between 0.50% and 1.25% on Revolver borrowings and between 1.75% and 2.50% on Term Loan borrowings. The applicable margin on the BSBY is between 1.50% and 2.25% on Revolver borrowings and between 2.75% and 3.50% on Term Loan borrowings. A 20 to 30-basis point per annum commitment fee on the unused portion of the Revolver is charged and due monthly in arrears. The applicable commitment fee is determined based upon the Company’s senior leverage ratio.</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702"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27" w:lineRule="exact"/>
        <w:rPr>
          <w:sz w:val="20"/>
          <w:szCs w:val="20"/>
          <w:color w:val="auto"/>
        </w:rPr>
      </w:pPr>
    </w:p>
    <w:p>
      <w:pPr>
        <w:ind w:left="120" w:right="20" w:firstLine="440"/>
        <w:spacing w:after="0" w:line="295" w:lineRule="auto"/>
        <w:rPr>
          <w:sz w:val="20"/>
          <w:szCs w:val="20"/>
          <w:color w:val="auto"/>
        </w:rPr>
      </w:pPr>
      <w:r>
        <w:rPr>
          <w:rFonts w:ascii="Arial" w:cs="Arial" w:eastAsia="Arial" w:hAnsi="Arial"/>
          <w:sz w:val="16"/>
          <w:szCs w:val="16"/>
          <w:color w:val="auto"/>
        </w:rPr>
        <w:t>The Company pledged substantially all of its assets in support of the Credit Agreement. The Credit Agreement contains standard financial covenants, including, but not limited to, covenants related to the Company’s senior leverage ratio and fixed charge ratio (as defined under the Credit Agreement) and limitations on liens, indebtedness, guarantees, contingent liabilities, loans and investments, distributions, leases, asset sales, stock repurchases and mergers and acquisitions. As of June 30, 2023, the Company was in compliance with all applicable provisions of the Credit Agreement.</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connection with securing the commitments under the Credit Agreement and the April 20, 2018, October 1, 2020, and December 29, 2021, amendments to the Credit Agreement, the Company paid a commitment fee and incurred deferred financing costs totaling $975,000, which were capitalized and are being amortized as interest expense over the life of the Credit Agreement. Deferred financing costs of $256,000 and $293,000 (net of amortization) as of June 30, 2023, and December 31, 2022, respectively, are presented as long-term assets in the Company’s Consolidated Balance Sheets.</w:t>
      </w:r>
    </w:p>
    <w:p>
      <w:pPr>
        <w:spacing w:after="0" w:line="18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As of June 30, 2023, and December 31, 2022, the Company’s outstanding borrowings under the Revolver totaled zero dollars; and unused borrowing capacity available was approximately $23.9 million and $31.8 million, respectively. The Company’s outstanding borrowings under the Term Loan were zero dollars and $1.1 million at June 30, 2023, and December 31, 2022, respectively.</w:t>
      </w:r>
    </w:p>
    <w:p>
      <w:pPr>
        <w:spacing w:after="0" w:line="328" w:lineRule="exact"/>
        <w:rPr>
          <w:sz w:val="20"/>
          <w:szCs w:val="20"/>
          <w:color w:val="auto"/>
        </w:rPr>
      </w:pPr>
    </w:p>
    <w:p>
      <w:pPr>
        <w:ind w:left="560" w:hanging="444"/>
        <w:spacing w:after="0"/>
        <w:tabs>
          <w:tab w:leader="none" w:pos="5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components of income (loss) before income taxes, as shown in the accompanying Financial Statements, consisted of the following for the three and six months ended June 30, 2023 and 2022:</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5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left="259"/>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center"/>
              <w:ind w:left="239"/>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2022</w:t>
            </w: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12"/>
                <w:szCs w:val="12"/>
                <w:color w:val="auto"/>
              </w:rPr>
            </w:pPr>
          </w:p>
        </w:tc>
      </w:tr>
      <w:tr>
        <w:trPr>
          <w:trHeight w:val="155"/>
        </w:trPr>
        <w:tc>
          <w:tcPr>
            <w:tcW w:w="6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(Amounts</w:t>
            </w:r>
          </w:p>
        </w:tc>
        <w:tc>
          <w:tcPr>
            <w:tcW w:w="320" w:type="dxa"/>
            <w:vAlign w:val="bottom"/>
          </w:tcPr>
          <w:p>
            <w:pPr>
              <w:jc w:val="right"/>
              <w:ind w:right="85"/>
              <w:spacing w:after="0" w:line="155"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74"/>
              </w:rPr>
              <w:t>thousands)</w:t>
            </w:r>
          </w:p>
        </w:tc>
        <w:tc>
          <w:tcPr>
            <w:tcW w:w="300" w:type="dxa"/>
            <w:vAlign w:val="bottom"/>
          </w:tcPr>
          <w:p>
            <w:pPr>
              <w:spacing w:after="0"/>
              <w:rPr>
                <w:sz w:val="13"/>
                <w:szCs w:val="13"/>
                <w:color w:val="auto"/>
              </w:rPr>
            </w:pP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7"/>
              </w:rPr>
              <w:t>(Amounts</w:t>
            </w:r>
          </w:p>
        </w:tc>
        <w:tc>
          <w:tcPr>
            <w:tcW w:w="32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in</w:t>
            </w:r>
          </w:p>
        </w:tc>
        <w:tc>
          <w:tcPr>
            <w:tcW w:w="6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76"/>
              </w:rPr>
              <w:t>thousands)</w:t>
            </w:r>
          </w:p>
        </w:tc>
        <w:tc>
          <w:tcPr>
            <w:tcW w:w="80" w:type="dxa"/>
            <w:vAlign w:val="bottom"/>
          </w:tcPr>
          <w:p>
            <w:pPr>
              <w:spacing w:after="0"/>
              <w:rPr>
                <w:sz w:val="13"/>
                <w:szCs w:val="13"/>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Domestic</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5"/>
              <w:spacing w:after="0"/>
              <w:rPr>
                <w:sz w:val="20"/>
                <w:szCs w:val="20"/>
                <w:color w:val="auto"/>
              </w:rPr>
            </w:pPr>
            <w:r>
              <w:rPr>
                <w:rFonts w:ascii="Arial" w:cs="Arial" w:eastAsia="Arial" w:hAnsi="Arial"/>
                <w:sz w:val="18"/>
                <w:szCs w:val="18"/>
                <w:color w:val="auto"/>
              </w:rPr>
              <w:t>(5,074)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3,858</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5"/>
              <w:spacing w:after="0"/>
              <w:rPr>
                <w:sz w:val="20"/>
                <w:szCs w:val="20"/>
                <w:color w:val="auto"/>
              </w:rPr>
            </w:pPr>
            <w:r>
              <w:rPr>
                <w:rFonts w:ascii="Arial" w:cs="Arial" w:eastAsia="Arial" w:hAnsi="Arial"/>
                <w:sz w:val="18"/>
                <w:szCs w:val="18"/>
                <w:color w:val="auto"/>
                <w:w w:val="98"/>
              </w:rPr>
              <w:t>(2,994)</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7,173</w:t>
            </w:r>
          </w:p>
        </w:tc>
        <w:tc>
          <w:tcPr>
            <w:tcW w:w="80" w:type="dxa"/>
            <w:vAlign w:val="bottom"/>
          </w:tcPr>
          <w:p>
            <w:pPr>
              <w:spacing w:after="0"/>
              <w:rPr>
                <w:sz w:val="18"/>
                <w:szCs w:val="18"/>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w:t>
            </w:r>
          </w:p>
        </w:tc>
      </w:tr>
      <w:tr>
        <w:trPr>
          <w:trHeight w:val="223"/>
        </w:trPr>
        <w:tc>
          <w:tcPr>
            <w:tcW w:w="6600" w:type="dxa"/>
            <w:vAlign w:val="bottom"/>
          </w:tcPr>
          <w:p>
            <w:pPr>
              <w:ind w:left="720"/>
              <w:spacing w:after="0"/>
              <w:rPr>
                <w:sz w:val="20"/>
                <w:szCs w:val="20"/>
                <w:color w:val="auto"/>
              </w:rPr>
            </w:pPr>
            <w:r>
              <w:rPr>
                <w:rFonts w:ascii="Arial" w:cs="Arial" w:eastAsia="Arial" w:hAnsi="Arial"/>
                <w:sz w:val="18"/>
                <w:szCs w:val="18"/>
                <w:color w:val="auto"/>
              </w:rPr>
              <w:t>Income (loss) before income taxes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(2,778</w:t>
            </w:r>
          </w:p>
        </w:tc>
        <w:tc>
          <w:tcPr>
            <w:tcW w:w="320" w:type="dxa"/>
            <w:vAlign w:val="bottom"/>
          </w:tcPr>
          <w:p>
            <w:pPr>
              <w:jc w:val="right"/>
              <w:ind w:right="185"/>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3,616</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(2,299</w:t>
            </w:r>
          </w:p>
        </w:tc>
        <w:tc>
          <w:tcPr>
            <w:tcW w:w="180" w:type="dxa"/>
            <w:vAlign w:val="bottom"/>
          </w:tcPr>
          <w:p>
            <w:pPr>
              <w:jc w:val="right"/>
              <w:ind w:right="45"/>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6,863</w:t>
            </w:r>
          </w:p>
        </w:tc>
        <w:tc>
          <w:tcPr>
            <w:tcW w:w="8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Company has foreign subsidiaries which generate revenues from non-U.S.-based clients. Additionally, these subsidiaries provide services to the Company’s U.S. operations. Accordingly, the Company allocates a portion of its income (loss) to these subsidiaries based on a “transfer pricing” model and reports such income (loss) as foreign in the above table.</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provision (benefit) for income taxes, as shown in the accompanying Financial Statements, consisted of the following for the three and six months ended June 30, 2023 and 2022:</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center"/>
              <w:ind w:left="294"/>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center"/>
              <w:ind w:left="294"/>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2023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2023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5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82"/>
              </w:rPr>
              <w:t>(Amounts</w:t>
            </w:r>
          </w:p>
        </w:tc>
        <w:tc>
          <w:tcPr>
            <w:tcW w:w="3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84"/>
              </w:rPr>
              <w:t>thousands)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85"/>
              </w:rPr>
              <w:t>(Amounts</w:t>
            </w:r>
          </w:p>
        </w:tc>
        <w:tc>
          <w:tcPr>
            <w:tcW w:w="3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87"/>
              </w:rPr>
              <w:t>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Current provision (benefit):</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Federal</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5"/>
              <w:spacing w:after="0"/>
              <w:rPr>
                <w:sz w:val="20"/>
                <w:szCs w:val="20"/>
                <w:color w:val="auto"/>
              </w:rPr>
            </w:pPr>
            <w:r>
              <w:rPr>
                <w:rFonts w:ascii="Arial" w:cs="Arial" w:eastAsia="Arial" w:hAnsi="Arial"/>
                <w:sz w:val="18"/>
                <w:szCs w:val="18"/>
                <w:color w:val="auto"/>
              </w:rPr>
              <w:t>(894)</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932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5"/>
              <w:spacing w:after="0"/>
              <w:rPr>
                <w:sz w:val="20"/>
                <w:szCs w:val="20"/>
                <w:color w:val="auto"/>
              </w:rPr>
            </w:pPr>
            <w:r>
              <w:rPr>
                <w:rFonts w:ascii="Arial" w:cs="Arial" w:eastAsia="Arial" w:hAnsi="Arial"/>
                <w:sz w:val="18"/>
                <w:szCs w:val="18"/>
                <w:color w:val="auto"/>
              </w:rPr>
              <w:t>(183)</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Foreign</w:t>
            </w:r>
          </w:p>
        </w:tc>
        <w:tc>
          <w:tcPr>
            <w:tcW w:w="2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provision (benefit)</w:t>
            </w:r>
          </w:p>
        </w:tc>
        <w:tc>
          <w:tcPr>
            <w:tcW w:w="2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Deferred provision (benefit):</w:t>
            </w:r>
          </w:p>
        </w:tc>
        <w:tc>
          <w:tcPr>
            <w:tcW w:w="2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(402)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State</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5"/>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5"/>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ind w:left="700"/>
              <w:spacing w:after="0"/>
              <w:rPr>
                <w:sz w:val="20"/>
                <w:szCs w:val="20"/>
                <w:color w:val="auto"/>
              </w:rPr>
            </w:pPr>
            <w:r>
              <w:rPr>
                <w:rFonts w:ascii="Arial" w:cs="Arial" w:eastAsia="Arial" w:hAnsi="Arial"/>
                <w:sz w:val="18"/>
                <w:szCs w:val="18"/>
                <w:color w:val="auto"/>
              </w:rPr>
              <w:t>Total deferred provision (benefit)</w:t>
            </w:r>
          </w:p>
        </w:tc>
        <w:tc>
          <w:tcPr>
            <w:tcW w:w="2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Total provision (benefit) for income taxes</w:t>
            </w:r>
          </w:p>
        </w:tc>
        <w:tc>
          <w:tcPr>
            <w:tcW w:w="25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200" w:type="dxa"/>
            <w:vAlign w:val="bottom"/>
          </w:tcPr>
          <w:p>
            <w:pPr>
              <w:jc w:val="right"/>
              <w:ind w:right="65"/>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80" w:type="dxa"/>
            <w:vAlign w:val="bottom"/>
          </w:tcPr>
          <w:p>
            <w:pPr>
              <w:jc w:val="right"/>
              <w:ind w:right="45"/>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580" w:type="dxa"/>
            <w:vAlign w:val="bottom"/>
            <w:vMerge w:val="restart"/>
          </w:tcPr>
          <w:p>
            <w:pPr>
              <w:jc w:val="right"/>
              <w:ind w:right="137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702" w:right="4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reconciliation of income taxes computed using the statutory U.S. income tax rate and the provision (benefit) for income taxes for the three and six months ended June 30, 2023 and 2022 were as follows (amounts in thousands):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840" w:type="dxa"/>
            <w:vAlign w:val="bottom"/>
            <w:gridSpan w:val="9"/>
          </w:tcPr>
          <w:p>
            <w:pPr>
              <w:jc w:val="right"/>
              <w:ind w:right="480"/>
              <w:spacing w:after="0"/>
              <w:rPr>
                <w:sz w:val="20"/>
                <w:szCs w:val="20"/>
                <w:color w:val="auto"/>
              </w:rPr>
            </w:pPr>
            <w:r>
              <w:rPr>
                <w:rFonts w:ascii="Arial" w:cs="Arial" w:eastAsia="Arial" w:hAnsi="Arial"/>
                <w:sz w:val="14"/>
                <w:szCs w:val="14"/>
                <w:b w:val="1"/>
                <w:bCs w:val="1"/>
                <w:color w:val="auto"/>
                <w:w w:val="96"/>
              </w:rPr>
              <w:t>Three Months Ended</w:t>
            </w:r>
          </w:p>
        </w:tc>
        <w:tc>
          <w:tcPr>
            <w:tcW w:w="1660" w:type="dxa"/>
            <w:vAlign w:val="bottom"/>
            <w:gridSpan w:val="9"/>
          </w:tcPr>
          <w:p>
            <w:pPr>
              <w:jc w:val="right"/>
              <w:ind w:right="26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4"/>
                <w:szCs w:val="14"/>
                <w:b w:val="1"/>
                <w:bCs w:val="1"/>
                <w:color w:val="auto"/>
                <w:w w:val="96"/>
              </w:rPr>
              <w:t>June 30, 2023</w:t>
            </w:r>
          </w:p>
        </w:tc>
        <w:tc>
          <w:tcPr>
            <w:tcW w:w="4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0"/>
              </w:rPr>
              <w:t>June 30, 2022</w:t>
            </w: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taxes computed at the federal statutory rate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(583)</w:t>
            </w:r>
          </w:p>
        </w:tc>
        <w:tc>
          <w:tcPr>
            <w:tcW w:w="1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21.0%</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160" w:type="dxa"/>
            <w:vAlign w:val="bottom"/>
          </w:tcPr>
          <w:p>
            <w:pPr>
              <w:spacing w:after="0"/>
              <w:rPr>
                <w:sz w:val="18"/>
                <w:szCs w:val="18"/>
                <w:color w:val="auto"/>
              </w:rPr>
            </w:pPr>
          </w:p>
        </w:tc>
        <w:tc>
          <w:tcPr>
            <w:tcW w:w="560" w:type="dxa"/>
            <w:vAlign w:val="bottom"/>
            <w:gridSpan w:val="3"/>
          </w:tcPr>
          <w:p>
            <w:pPr>
              <w:jc w:val="right"/>
              <w:ind w:right="10"/>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210</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Excess tax expense (benefit) from stock options/restricted shares</w:t>
            </w:r>
          </w:p>
        </w:tc>
        <w:tc>
          <w:tcPr>
            <w:tcW w:w="1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Difference in income tax rate on foreign earnings/other</w:t>
            </w:r>
          </w:p>
        </w:tc>
        <w:tc>
          <w:tcPr>
            <w:tcW w:w="160" w:type="dxa"/>
            <w:vAlign w:val="bottom"/>
          </w:tcPr>
          <w:p>
            <w:pPr>
              <w:spacing w:after="0"/>
              <w:rPr>
                <w:sz w:val="18"/>
                <w:szCs w:val="18"/>
                <w:color w:val="auto"/>
              </w:rPr>
            </w:pPr>
          </w:p>
        </w:tc>
        <w:tc>
          <w:tcPr>
            <w:tcW w:w="560" w:type="dxa"/>
            <w:vAlign w:val="bottom"/>
            <w:gridSpan w:val="3"/>
          </w:tcPr>
          <w:p>
            <w:pPr>
              <w:jc w:val="right"/>
              <w:ind w:right="70"/>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9"/>
              </w:rPr>
              <w:t>(605</w:t>
            </w:r>
          </w:p>
        </w:tc>
        <w:tc>
          <w:tcPr>
            <w:tcW w:w="18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rPr>
              <w:t>(21.8)%</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1,180</w:t>
            </w:r>
          </w:p>
        </w:tc>
        <w:tc>
          <w:tcPr>
            <w:tcW w:w="4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32.6%</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6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rPr>
              <w:t>June 30, 2023</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taxes computed at the federal statutory rate</w:t>
            </w:r>
          </w:p>
        </w:tc>
        <w:tc>
          <w:tcPr>
            <w:tcW w:w="1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81"/>
              <w:spacing w:after="0"/>
              <w:rPr>
                <w:sz w:val="20"/>
                <w:szCs w:val="20"/>
                <w:color w:val="auto"/>
              </w:rPr>
            </w:pPr>
            <w:r>
              <w:rPr>
                <w:rFonts w:ascii="Arial" w:cs="Arial" w:eastAsia="Arial" w:hAnsi="Arial"/>
                <w:sz w:val="18"/>
                <w:szCs w:val="18"/>
                <w:color w:val="auto"/>
              </w:rPr>
              <w:t>$ (483)</w:t>
            </w:r>
          </w:p>
        </w:tc>
        <w:tc>
          <w:tcPr>
            <w:tcW w:w="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7"/>
              </w:rPr>
              <w:t>1,441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21.0%</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160" w:type="dxa"/>
            <w:vAlign w:val="bottom"/>
          </w:tcPr>
          <w:p>
            <w:pPr>
              <w:spacing w:after="0"/>
              <w:rPr>
                <w:sz w:val="18"/>
                <w:szCs w:val="18"/>
                <w:color w:val="auto"/>
              </w:rPr>
            </w:pPr>
          </w:p>
        </w:tc>
        <w:tc>
          <w:tcPr>
            <w:tcW w:w="720" w:type="dxa"/>
            <w:vAlign w:val="bottom"/>
            <w:gridSpan w:val="4"/>
          </w:tcPr>
          <w:p>
            <w:pPr>
              <w:jc w:val="right"/>
              <w:ind w:right="81"/>
              <w:spacing w:after="0"/>
              <w:rPr>
                <w:sz w:val="20"/>
                <w:szCs w:val="20"/>
                <w:color w:val="auto"/>
              </w:rPr>
            </w:pPr>
            <w:r>
              <w:rPr>
                <w:rFonts w:ascii="Arial" w:cs="Arial" w:eastAsia="Arial" w:hAnsi="Arial"/>
                <w:sz w:val="18"/>
                <w:szCs w:val="18"/>
                <w:color w:val="auto"/>
              </w:rPr>
              <w:t>(72)</w:t>
            </w: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8"/>
                <w:szCs w:val="18"/>
                <w:color w:val="auto"/>
              </w:rPr>
              <w:t>386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Excess tax expense (benefit) from stock options/restricted shares</w:t>
            </w:r>
          </w:p>
        </w:tc>
        <w:tc>
          <w:tcPr>
            <w:tcW w:w="1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Difference in income tax rate on foreign earnings/other</w:t>
            </w:r>
          </w:p>
        </w:tc>
        <w:tc>
          <w:tcPr>
            <w:tcW w:w="1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960" w:type="dxa"/>
            <w:vAlign w:val="bottom"/>
            <w:gridSpan w:val="4"/>
          </w:tcPr>
          <w:p>
            <w:pPr>
              <w:jc w:val="right"/>
              <w:ind w:right="28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jc w:val="right"/>
              <w:ind w:right="81"/>
              <w:spacing w:after="0"/>
              <w:rPr>
                <w:sz w:val="20"/>
                <w:szCs w:val="20"/>
                <w:color w:val="auto"/>
              </w:rPr>
            </w:pPr>
            <w:r>
              <w:rPr>
                <w:rFonts w:ascii="Arial" w:cs="Arial" w:eastAsia="Arial" w:hAnsi="Arial"/>
                <w:sz w:val="8"/>
                <w:szCs w:val="8"/>
                <w:color w:val="auto"/>
                <w:w w:val="73"/>
              </w:rPr>
              <w:t>)</w:t>
            </w:r>
          </w:p>
        </w:tc>
        <w:tc>
          <w:tcPr>
            <w:tcW w:w="220" w:type="dxa"/>
            <w:vAlign w:val="bottom"/>
            <w:vMerge w:val="restart"/>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6"/>
              </w:rPr>
              <w:t>$ (387</w:t>
            </w:r>
          </w:p>
        </w:tc>
        <w:tc>
          <w:tcPr>
            <w:tcW w:w="1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(16.8)%</w:t>
            </w:r>
          </w:p>
        </w:tc>
        <w:tc>
          <w:tcPr>
            <w:tcW w:w="1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2,095</w:t>
            </w:r>
          </w:p>
        </w:tc>
        <w:tc>
          <w:tcPr>
            <w:tcW w:w="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30.5%</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We evaluate deferred income taxes quarterly to determine if valuation allowances are required or should be adjusted. GAAP accounting guidance requires us to assess whether valuation allowances should be established against deferred tax assets based on all available evidence, both positive and negative, using a “more likely than not” standard. Our assessment considers, among other things, the nature of cumulative losses, forecast of future profitability, the duration of statutory carry-forward periods and tax planning alternatives. At June 30, 2023, our valuation allowance was comprised of balances within locations of Singapore, Ireland and the United Kingdom. The valuation allowance balances at these locations totaled $616,000 and $559,000 as of June 30, 2023, and December 31, 2022, respectively, and reflect net operating losses which may not be realizable in the future. In the third quarter of 2022, the Company decided to close the Singapore and Ireland operations.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Canadian subsidiary is currently under audit by Revenue Canada for the years 2018 and 2019.</w:t>
      </w:r>
    </w:p>
    <w:p>
      <w:pPr>
        <w:spacing w:after="0" w:line="370" w:lineRule="exact"/>
        <w:rPr>
          <w:sz w:val="20"/>
          <w:szCs w:val="20"/>
          <w:color w:val="auto"/>
        </w:rPr>
      </w:pPr>
    </w:p>
    <w:p>
      <w:pPr>
        <w:ind w:left="560" w:hanging="444"/>
        <w:spacing w:after="0"/>
        <w:tabs>
          <w:tab w:leader="none" w:pos="5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21"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On February 8, 2023, the Company announced that the Board of Directors authorized a share repurchase program of up to 500,000 shares of Common Stock over a two-year period. Repurchases under the program may occur from time to time in the open market, through privately negotiated transactions, through block purchases or other purchase techniques, or by any combination of such methods, and the program may be modified, suspended or terminated at any time at the discretion of the Board of Directors. During the three and six months ended June 30, 2023, the Company repurchased 62,361 shares of common stock at an average price of $9.15 per share under this program.</w:t>
      </w:r>
    </w:p>
    <w:p>
      <w:pPr>
        <w:spacing w:after="0" w:line="176"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Additionally, the Company makes stock purchases from time to time to satisfy employee tax obligations related to the Plan. The Company did not purchase any shares to satisfy employee tax obligations during the six months ended June 30, 2023 and 2022.</w:t>
      </w:r>
    </w:p>
    <w:p>
      <w:pPr>
        <w:spacing w:after="0" w:line="315" w:lineRule="exact"/>
        <w:rPr>
          <w:sz w:val="20"/>
          <w:szCs w:val="20"/>
          <w:color w:val="auto"/>
        </w:rPr>
      </w:pPr>
    </w:p>
    <w:p>
      <w:pPr>
        <w:ind w:left="560" w:hanging="444"/>
        <w:spacing w:after="0"/>
        <w:tabs>
          <w:tab w:leader="none" w:pos="5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Per Share</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computation of basic earnings (loss) per share is based on the Company’s net income (loss) divided by the weighted average number of shares of Common Stock outstanding. Diluted earnings (loss) per share reflect the potential dilution that could occur if outstanding stock options were exercised. The dilutive effect of stock options was calculated using the treasury stock method.</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For the three and six months ended June 30, 2023, all stock options and restricted shares were anti-dilutive and excluded from the computation of diluted (loss) per share. For the three and six months ended June 30, 2022, there were 403,000 and 211,000 anti-dilutive stock options excluded from the computation of diluted earnings per share.</w:t>
      </w:r>
    </w:p>
    <w:p>
      <w:pPr>
        <w:spacing w:after="0" w:line="328" w:lineRule="exact"/>
        <w:rPr>
          <w:sz w:val="20"/>
          <w:szCs w:val="20"/>
          <w:color w:val="auto"/>
        </w:rPr>
      </w:pPr>
    </w:p>
    <w:p>
      <w:pPr>
        <w:ind w:left="560" w:hanging="444"/>
        <w:spacing w:after="0"/>
        <w:tabs>
          <w:tab w:leader="none" w:pos="5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 and Geographic Information</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Our reporting segments are: 1) Data and Analytics Services; and 2) IT Staffing Services.</w:t>
      </w:r>
    </w:p>
    <w:p>
      <w:pPr>
        <w:sectPr>
          <w:pgSz w:w="11900" w:h="16838" w:orient="portrait"/>
          <w:cols w:equalWidth="0" w:num="1">
            <w:col w:w="11120"/>
          </w:cols>
          <w:pgMar w:left="320" w:top="702" w:right="459" w:bottom="1440" w:gutter="0" w:footer="0" w:header="0"/>
        </w:sectPr>
      </w:pP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120"/>
          </w:cols>
          <w:pgMar w:left="320" w:top="702" w:right="4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2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Data and Analytics Services segment was acquired through the July 13, 2017, acquisition of the services division of Canada-based InfoTrellis, Inc. This segment is a project-based consulting services business with specialized capabilities in data management and analytics. The business is marketed as “Mastech InfoTrellis” and utilizes a dedicated sales team with deep subject matter expertise. Mastech InfoTrellis has offices in Atlanta, Toronto and London, and a global delivery center in Chennai, India. Project-based delivery reflects a combination of on-site resources and offshore resources. Assignments are secured on both a time and material and fixed price basis. In October 2020, we acquired AmberLeaf, a Chicago-based customer experience consulting firm. This acquisition expanded our capabilities in customer experience strategy and managed services offering for a variety of Cloud-based enterprise application across sales, marketing and customer service organizations.</w:t>
      </w:r>
    </w:p>
    <w:p>
      <w:pPr>
        <w:spacing w:after="0" w:line="18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IT Staffing Services segment offers staffing services in digital and mainstream technologies, engineering services and uses digital methods to enhance organizational learning. These services are marketed using a common sales force and delivered via our domestic and global recruitment centers. While the vast majority of our assignments are based on time and materials, we do have the capabilities to deliver our digital transformation services on a fixed price basis.</w:t>
      </w:r>
    </w:p>
    <w:p>
      <w:pPr>
        <w:spacing w:after="0" w:line="19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9"/>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center"/>
              <w:ind w:left="175"/>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79"/>
              <w:spacing w:after="0" w:line="142" w:lineRule="exact"/>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3"/>
          </w:tcPr>
          <w:p>
            <w:pPr>
              <w:jc w:val="right"/>
              <w:ind w:right="95"/>
              <w:spacing w:after="0" w:line="142" w:lineRule="exact"/>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3"/>
              </w:rPr>
              <w:t>(Amounts</w:t>
            </w:r>
          </w:p>
        </w:tc>
        <w:tc>
          <w:tcPr>
            <w:tcW w:w="1080" w:type="dxa"/>
            <w:vAlign w:val="bottom"/>
            <w:gridSpan w:val="5"/>
          </w:tcPr>
          <w:p>
            <w:pPr>
              <w:jc w:val="right"/>
              <w:ind w:right="19"/>
              <w:spacing w:after="0" w:line="155" w:lineRule="exact"/>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79"/>
              </w:rPr>
              <w:t>(Amounts</w:t>
            </w:r>
          </w:p>
        </w:tc>
        <w:tc>
          <w:tcPr>
            <w:tcW w:w="46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87"/>
              </w:rPr>
              <w:t>thousands)</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360"/>
              <w:spacing w:after="0"/>
              <w:rPr>
                <w:sz w:val="20"/>
                <w:szCs w:val="20"/>
                <w:color w:val="auto"/>
              </w:rPr>
            </w:pPr>
            <w:r>
              <w:rPr>
                <w:rFonts w:ascii="Arial" w:cs="Arial" w:eastAsia="Arial" w:hAnsi="Arial"/>
                <w:sz w:val="18"/>
                <w:szCs w:val="18"/>
                <w:color w:val="auto"/>
              </w:rPr>
              <w:t>Data and Analytics Services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5"/>
              <w:spacing w:after="0"/>
              <w:rPr>
                <w:sz w:val="20"/>
                <w:szCs w:val="20"/>
                <w:color w:val="auto"/>
              </w:rPr>
            </w:pPr>
            <w:r>
              <w:rPr>
                <w:rFonts w:ascii="Arial" w:cs="Arial" w:eastAsia="Arial" w:hAnsi="Arial"/>
                <w:sz w:val="18"/>
                <w:szCs w:val="18"/>
                <w:color w:val="auto"/>
              </w:rPr>
              <w:t>8,773</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$ 11,250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gridSpan w:val="4"/>
          </w:tcPr>
          <w:p>
            <w:pPr>
              <w:jc w:val="right"/>
              <w:ind w:right="365"/>
              <w:spacing w:after="0"/>
              <w:rPr>
                <w:sz w:val="20"/>
                <w:szCs w:val="20"/>
                <w:color w:val="auto"/>
              </w:rPr>
            </w:pPr>
            <w:r>
              <w:rPr>
                <w:rFonts w:ascii="Arial" w:cs="Arial" w:eastAsia="Arial" w:hAnsi="Arial"/>
                <w:sz w:val="18"/>
                <w:szCs w:val="18"/>
                <w:color w:val="auto"/>
                <w:w w:val="94"/>
              </w:rPr>
              <w:t>18,168</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21,402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IT Staffing Services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w w:val="87"/>
              </w:rPr>
              <w:t>43,431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50,867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4"/>
            <w:shd w:val="clear" w:color="auto" w:fill="CCEEFF"/>
          </w:tcPr>
          <w:p>
            <w:pPr>
              <w:jc w:val="right"/>
              <w:ind w:right="365"/>
              <w:spacing w:after="0"/>
              <w:rPr>
                <w:sz w:val="20"/>
                <w:szCs w:val="20"/>
                <w:color w:val="auto"/>
              </w:rPr>
            </w:pPr>
            <w:r>
              <w:rPr>
                <w:rFonts w:ascii="Arial" w:cs="Arial" w:eastAsia="Arial" w:hAnsi="Arial"/>
                <w:sz w:val="18"/>
                <w:szCs w:val="18"/>
                <w:color w:val="auto"/>
                <w:w w:val="94"/>
              </w:rPr>
              <w:t>89,099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100,470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0" w:type="dxa"/>
            <w:vAlign w:val="bottom"/>
            <w:gridSpan w:val="2"/>
          </w:tcPr>
          <w:p>
            <w:pPr>
              <w:ind w:left="72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52,204</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2"/>
              </w:rPr>
              <w:t>$ 62,117</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gridSpan w:val="4"/>
          </w:tcPr>
          <w:p>
            <w:pPr>
              <w:ind w:left="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107,267</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121,872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 %:</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360"/>
              <w:spacing w:after="0"/>
              <w:rPr>
                <w:sz w:val="20"/>
                <w:szCs w:val="20"/>
                <w:color w:val="auto"/>
              </w:rPr>
            </w:pPr>
            <w:r>
              <w:rPr>
                <w:rFonts w:ascii="Arial" w:cs="Arial" w:eastAsia="Arial" w:hAnsi="Arial"/>
                <w:sz w:val="18"/>
                <w:szCs w:val="18"/>
                <w:color w:val="auto"/>
              </w:rPr>
              <w:t>Data and Analytics Services</w:t>
            </w:r>
          </w:p>
        </w:tc>
        <w:tc>
          <w:tcPr>
            <w:tcW w:w="100" w:type="dxa"/>
            <w:vAlign w:val="bottom"/>
          </w:tcPr>
          <w:p>
            <w:pPr>
              <w:spacing w:after="0"/>
              <w:rPr>
                <w:sz w:val="18"/>
                <w:szCs w:val="18"/>
                <w:color w:val="auto"/>
              </w:rPr>
            </w:pPr>
          </w:p>
        </w:tc>
        <w:tc>
          <w:tcPr>
            <w:tcW w:w="820" w:type="dxa"/>
            <w:vAlign w:val="bottom"/>
            <w:gridSpan w:val="2"/>
          </w:tcPr>
          <w:p>
            <w:pPr>
              <w:jc w:val="right"/>
              <w:ind w:right="85"/>
              <w:spacing w:after="0"/>
              <w:rPr>
                <w:sz w:val="20"/>
                <w:szCs w:val="20"/>
                <w:color w:val="auto"/>
              </w:rPr>
            </w:pPr>
            <w:r>
              <w:rPr>
                <w:rFonts w:ascii="Arial" w:cs="Arial" w:eastAsia="Arial" w:hAnsi="Arial"/>
                <w:sz w:val="18"/>
                <w:szCs w:val="18"/>
                <w:color w:val="auto"/>
              </w:rPr>
              <w:t>45.6%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43.6%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5"/>
              <w:spacing w:after="0"/>
              <w:rPr>
                <w:sz w:val="20"/>
                <w:szCs w:val="20"/>
                <w:color w:val="auto"/>
              </w:rPr>
            </w:pPr>
            <w:r>
              <w:rPr>
                <w:rFonts w:ascii="Arial" w:cs="Arial" w:eastAsia="Arial" w:hAnsi="Arial"/>
                <w:sz w:val="18"/>
                <w:szCs w:val="18"/>
                <w:color w:val="auto"/>
                <w:w w:val="93"/>
              </w:rPr>
              <w:t>41.9%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IT Staffing Services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5"/>
              <w:spacing w:after="0"/>
              <w:rPr>
                <w:sz w:val="20"/>
                <w:szCs w:val="20"/>
                <w:color w:val="auto"/>
              </w:rPr>
            </w:pPr>
            <w:r>
              <w:rPr>
                <w:rFonts w:ascii="Arial" w:cs="Arial" w:eastAsia="Arial" w:hAnsi="Arial"/>
                <w:sz w:val="18"/>
                <w:szCs w:val="18"/>
                <w:color w:val="auto"/>
                <w:w w:val="93"/>
              </w:rPr>
              <w:t>21.9%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ind w:left="720"/>
              <w:spacing w:after="0"/>
              <w:rPr>
                <w:sz w:val="20"/>
                <w:szCs w:val="20"/>
                <w:color w:val="auto"/>
              </w:rPr>
            </w:pPr>
            <w:r>
              <w:rPr>
                <w:rFonts w:ascii="Arial" w:cs="Arial" w:eastAsia="Arial" w:hAnsi="Arial"/>
                <w:sz w:val="18"/>
                <w:szCs w:val="18"/>
                <w:color w:val="auto"/>
              </w:rPr>
              <w:t>Total gross margin %</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85"/>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5"/>
              <w:spacing w:after="0"/>
              <w:rPr>
                <w:sz w:val="20"/>
                <w:szCs w:val="20"/>
                <w:color w:val="auto"/>
              </w:rPr>
            </w:pPr>
            <w:r>
              <w:rPr>
                <w:rFonts w:ascii="Arial" w:cs="Arial" w:eastAsia="Arial" w:hAnsi="Arial"/>
                <w:sz w:val="18"/>
                <w:szCs w:val="18"/>
                <w:color w:val="auto"/>
                <w:w w:val="93"/>
              </w:rPr>
              <w:t>25.3%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operating income (loss):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360"/>
              <w:spacing w:after="0"/>
              <w:rPr>
                <w:sz w:val="20"/>
                <w:szCs w:val="20"/>
                <w:color w:val="auto"/>
              </w:rPr>
            </w:pPr>
            <w:r>
              <w:rPr>
                <w:rFonts w:ascii="Arial" w:cs="Arial" w:eastAsia="Arial" w:hAnsi="Arial"/>
                <w:sz w:val="18"/>
                <w:szCs w:val="18"/>
                <w:color w:val="auto"/>
              </w:rPr>
              <w:t>Data and Analytics Services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85"/>
              <w:spacing w:after="0"/>
              <w:rPr>
                <w:sz w:val="20"/>
                <w:szCs w:val="20"/>
                <w:color w:val="auto"/>
              </w:rPr>
            </w:pPr>
            <w:r>
              <w:rPr>
                <w:rFonts w:ascii="Arial" w:cs="Arial" w:eastAsia="Arial" w:hAnsi="Arial"/>
                <w:sz w:val="18"/>
                <w:szCs w:val="18"/>
                <w:color w:val="auto"/>
              </w:rPr>
              <w:t>(881)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817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gridSpan w:val="4"/>
          </w:tcPr>
          <w:p>
            <w:pPr>
              <w:jc w:val="right"/>
              <w:ind w:right="305"/>
              <w:spacing w:after="0"/>
              <w:rPr>
                <w:sz w:val="20"/>
                <w:szCs w:val="20"/>
                <w:color w:val="auto"/>
              </w:rPr>
            </w:pPr>
            <w:r>
              <w:rPr>
                <w:rFonts w:ascii="Arial" w:cs="Arial" w:eastAsia="Arial" w:hAnsi="Arial"/>
                <w:sz w:val="18"/>
                <w:szCs w:val="18"/>
                <w:color w:val="auto"/>
              </w:rPr>
              <w:t>(1,561)</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1,789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IT Staffing Services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1,846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4"/>
            <w:shd w:val="clear" w:color="auto" w:fill="CCEEFF"/>
          </w:tcPr>
          <w:p>
            <w:pPr>
              <w:jc w:val="right"/>
              <w:ind w:right="365"/>
              <w:spacing w:after="0"/>
              <w:rPr>
                <w:sz w:val="20"/>
                <w:szCs w:val="20"/>
                <w:color w:val="auto"/>
              </w:rPr>
            </w:pPr>
            <w:r>
              <w:rPr>
                <w:rFonts w:ascii="Arial" w:cs="Arial" w:eastAsia="Arial" w:hAnsi="Arial"/>
                <w:sz w:val="18"/>
                <w:szCs w:val="18"/>
                <w:color w:val="auto"/>
              </w:rPr>
              <w:t>3,751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0" w:type="dxa"/>
            <w:vAlign w:val="bottom"/>
            <w:gridSpan w:val="2"/>
          </w:tcPr>
          <w:p>
            <w:pPr>
              <w:ind w:left="720"/>
              <w:spacing w:after="0"/>
              <w:rPr>
                <w:sz w:val="20"/>
                <w:szCs w:val="20"/>
                <w:color w:val="auto"/>
              </w:rPr>
            </w:pPr>
            <w:r>
              <w:rPr>
                <w:rFonts w:ascii="Arial" w:cs="Arial" w:eastAsia="Arial" w:hAnsi="Arial"/>
                <w:sz w:val="18"/>
                <w:szCs w:val="18"/>
                <w:color w:val="auto"/>
              </w:rPr>
              <w:t>Subtotal</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4,340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2,190</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8,439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(693)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4"/>
            <w:shd w:val="clear" w:color="auto" w:fill="CCEEFF"/>
          </w:tcPr>
          <w:p>
            <w:pPr>
              <w:jc w:val="right"/>
              <w:ind w:right="305"/>
              <w:spacing w:after="0"/>
              <w:rPr>
                <w:sz w:val="20"/>
                <w:szCs w:val="20"/>
                <w:color w:val="auto"/>
              </w:rPr>
            </w:pPr>
            <w:r>
              <w:rPr>
                <w:rFonts w:ascii="Arial" w:cs="Arial" w:eastAsia="Arial" w:hAnsi="Arial"/>
                <w:sz w:val="18"/>
                <w:szCs w:val="18"/>
                <w:color w:val="auto"/>
              </w:rPr>
              <w:t>(1,386)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16"/>
        </w:trPr>
        <w:tc>
          <w:tcPr>
            <w:tcW w:w="6000" w:type="dxa"/>
            <w:vAlign w:val="bottom"/>
            <w:gridSpan w:val="2"/>
          </w:tcPr>
          <w:p>
            <w:pPr>
              <w:ind w:left="360"/>
              <w:spacing w:after="0"/>
              <w:rPr>
                <w:sz w:val="20"/>
                <w:szCs w:val="20"/>
                <w:color w:val="auto"/>
              </w:rPr>
            </w:pPr>
            <w:r>
              <w:rPr>
                <w:rFonts w:ascii="Arial" w:cs="Arial" w:eastAsia="Arial" w:hAnsi="Arial"/>
                <w:sz w:val="18"/>
                <w:szCs w:val="18"/>
                <w:color w:val="auto"/>
              </w:rPr>
              <w:t>Employment-related claim, net of recoveries</w:t>
            </w:r>
          </w:p>
        </w:tc>
        <w:tc>
          <w:tcPr>
            <w:tcW w:w="100" w:type="dxa"/>
            <w:vAlign w:val="bottom"/>
          </w:tcPr>
          <w:p>
            <w:pPr>
              <w:spacing w:after="0"/>
              <w:rPr>
                <w:sz w:val="18"/>
                <w:szCs w:val="18"/>
                <w:color w:val="auto"/>
              </w:rPr>
            </w:pPr>
          </w:p>
        </w:tc>
        <w:tc>
          <w:tcPr>
            <w:tcW w:w="820" w:type="dxa"/>
            <w:vAlign w:val="bottom"/>
            <w:gridSpan w:val="2"/>
          </w:tcPr>
          <w:p>
            <w:pPr>
              <w:jc w:val="right"/>
              <w:ind w:right="185"/>
              <w:spacing w:after="0"/>
              <w:rPr>
                <w:sz w:val="20"/>
                <w:szCs w:val="20"/>
                <w:color w:val="auto"/>
              </w:rPr>
            </w:pPr>
            <w:r>
              <w:rPr>
                <w:rFonts w:ascii="Arial" w:cs="Arial" w:eastAsia="Arial" w:hAnsi="Arial"/>
                <w:sz w:val="18"/>
                <w:szCs w:val="18"/>
                <w:color w:val="auto"/>
                <w:w w:val="94"/>
              </w:rPr>
              <w:t>(3,100)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4"/>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4"/>
          </w:tcPr>
          <w:p>
            <w:pPr>
              <w:jc w:val="right"/>
              <w:ind w:right="305"/>
              <w:spacing w:after="0"/>
              <w:rPr>
                <w:sz w:val="20"/>
                <w:szCs w:val="20"/>
                <w:color w:val="auto"/>
              </w:rPr>
            </w:pPr>
            <w:r>
              <w:rPr>
                <w:rFonts w:ascii="Arial" w:cs="Arial" w:eastAsia="Arial" w:hAnsi="Arial"/>
                <w:sz w:val="18"/>
                <w:szCs w:val="18"/>
                <w:color w:val="auto"/>
              </w:rPr>
              <w:t>(3,100)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expenses, FX gains/losses and other,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0" w:type="dxa"/>
            <w:vAlign w:val="bottom"/>
            <w:gridSpan w:val="2"/>
          </w:tcPr>
          <w:p>
            <w:pPr>
              <w:ind w:left="720"/>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(2,778</w:t>
            </w:r>
          </w:p>
        </w:tc>
        <w:tc>
          <w:tcPr>
            <w:tcW w:w="320" w:type="dxa"/>
            <w:vAlign w:val="bottom"/>
          </w:tcPr>
          <w:p>
            <w:pPr>
              <w:jc w:val="right"/>
              <w:ind w:right="185"/>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3,616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(2,299</w:t>
            </w:r>
          </w:p>
        </w:tc>
        <w:tc>
          <w:tcPr>
            <w:tcW w:w="440" w:type="dxa"/>
            <w:vAlign w:val="bottom"/>
          </w:tcPr>
          <w:p>
            <w:pPr>
              <w:jc w:val="right"/>
              <w:ind w:right="305"/>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w w:val="98"/>
              </w:rPr>
              <w:t>Below is a reconciliation of segment total assets to consolidated total assets:</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4"/>
          </w:tcPr>
          <w:p>
            <w:pPr>
              <w:ind w:left="8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24"/>
                <w:szCs w:val="24"/>
                <w:color w:val="auto"/>
              </w:rPr>
            </w:pPr>
          </w:p>
        </w:tc>
        <w:tc>
          <w:tcPr>
            <w:tcW w:w="98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45"/>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7"/>
              </w:rPr>
              <w:t>(Amounts</w:t>
            </w:r>
          </w:p>
        </w:tc>
        <w:tc>
          <w:tcPr>
            <w:tcW w:w="380" w:type="dxa"/>
            <w:vAlign w:val="bottom"/>
            <w:gridSpan w:val="4"/>
          </w:tcPr>
          <w:p>
            <w:pPr>
              <w:ind w:left="180"/>
              <w:spacing w:after="0" w:line="155" w:lineRule="exact"/>
              <w:rPr>
                <w:sz w:val="20"/>
                <w:szCs w:val="20"/>
                <w:color w:val="auto"/>
              </w:rPr>
            </w:pPr>
            <w:r>
              <w:rPr>
                <w:rFonts w:ascii="Arial" w:cs="Arial" w:eastAsia="Arial" w:hAnsi="Arial"/>
                <w:sz w:val="14"/>
                <w:szCs w:val="14"/>
                <w:b w:val="1"/>
                <w:bCs w:val="1"/>
                <w:color w:val="auto"/>
              </w:rPr>
              <w:t>in</w:t>
            </w:r>
          </w:p>
        </w:tc>
        <w:tc>
          <w:tcPr>
            <w:tcW w:w="860" w:type="dxa"/>
            <w:vAlign w:val="bottom"/>
            <w:tcBorders>
              <w:top w:val="single" w:sz="8" w:color="auto"/>
            </w:tcBorders>
            <w:gridSpan w:val="3"/>
          </w:tcPr>
          <w:p>
            <w:pPr>
              <w:jc w:val="right"/>
              <w:ind w:right="165"/>
              <w:spacing w:after="0" w:line="155" w:lineRule="exact"/>
              <w:rPr>
                <w:sz w:val="20"/>
                <w:szCs w:val="20"/>
                <w:color w:val="auto"/>
              </w:rPr>
            </w:pPr>
            <w:r>
              <w:rPr>
                <w:rFonts w:ascii="Arial" w:cs="Arial" w:eastAsia="Arial" w:hAnsi="Arial"/>
                <w:sz w:val="14"/>
                <w:szCs w:val="14"/>
                <w:b w:val="1"/>
                <w:bCs w:val="1"/>
                <w:color w:val="auto"/>
                <w:w w:val="79"/>
              </w:rPr>
              <w:t>thousands)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Data and Analytics Services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$ 54,012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54,544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 Staffing Services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57,205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54,335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12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111,217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108,879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Below is geographic information related to our revenues from external customers: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60" w:type="dxa"/>
            <w:vAlign w:val="bottom"/>
            <w:gridSpan w:val="4"/>
          </w:tcPr>
          <w:p>
            <w:pPr>
              <w:jc w:val="right"/>
              <w:ind w:right="94"/>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660" w:type="dxa"/>
            <w:vAlign w:val="bottom"/>
            <w:tcBorders>
              <w:top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2"/>
                <w:szCs w:val="12"/>
                <w:color w:val="auto"/>
              </w:rPr>
            </w:pPr>
          </w:p>
        </w:tc>
        <w:tc>
          <w:tcPr>
            <w:tcW w:w="660" w:type="dxa"/>
            <w:vAlign w:val="bottom"/>
            <w:tcBorders>
              <w:top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2023</w:t>
            </w:r>
          </w:p>
        </w:tc>
        <w:tc>
          <w:tcPr>
            <w:tcW w:w="1000" w:type="dxa"/>
            <w:vAlign w:val="bottom"/>
            <w:tcBorders>
              <w:top w:val="single" w:sz="8" w:color="auto"/>
            </w:tcBorders>
            <w:gridSpan w:val="2"/>
          </w:tcPr>
          <w:p>
            <w:pPr>
              <w:jc w:val="right"/>
              <w:ind w:right="99"/>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3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(Amounts</w:t>
            </w:r>
          </w:p>
        </w:tc>
        <w:tc>
          <w:tcPr>
            <w:tcW w:w="340" w:type="dxa"/>
            <w:vAlign w:val="bottom"/>
          </w:tcPr>
          <w:p>
            <w:pPr>
              <w:ind w:left="80"/>
              <w:spacing w:after="0" w:line="155" w:lineRule="exact"/>
              <w:rPr>
                <w:sz w:val="20"/>
                <w:szCs w:val="20"/>
                <w:color w:val="auto"/>
              </w:rPr>
            </w:pPr>
            <w:r>
              <w:rPr>
                <w:rFonts w:ascii="Arial" w:cs="Arial" w:eastAsia="Arial" w:hAnsi="Arial"/>
                <w:sz w:val="14"/>
                <w:szCs w:val="14"/>
                <w:b w:val="1"/>
                <w:bCs w:val="1"/>
                <w:color w:val="auto"/>
              </w:rPr>
              <w:t>in</w:t>
            </w:r>
          </w:p>
        </w:tc>
        <w:tc>
          <w:tcPr>
            <w:tcW w:w="660" w:type="dxa"/>
            <w:vAlign w:val="bottom"/>
            <w:tcBorders>
              <w:top w:val="single" w:sz="8" w:color="auto"/>
            </w:tcBorders>
            <w:gridSpan w:val="2"/>
          </w:tcPr>
          <w:p>
            <w:pPr>
              <w:jc w:val="right"/>
              <w:ind w:right="14"/>
              <w:spacing w:after="0" w:line="155" w:lineRule="exact"/>
              <w:rPr>
                <w:sz w:val="20"/>
                <w:szCs w:val="20"/>
                <w:color w:val="auto"/>
              </w:rPr>
            </w:pPr>
            <w:r>
              <w:rPr>
                <w:rFonts w:ascii="Arial" w:cs="Arial" w:eastAsia="Arial" w:hAnsi="Arial"/>
                <w:sz w:val="14"/>
                <w:szCs w:val="14"/>
                <w:b w:val="1"/>
                <w:bCs w:val="1"/>
                <w:color w:val="auto"/>
                <w:w w:val="71"/>
              </w:rPr>
              <w:t>thousands)</w:t>
            </w:r>
          </w:p>
        </w:tc>
        <w:tc>
          <w:tcPr>
            <w:tcW w:w="34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(Amounts</w:t>
            </w:r>
          </w:p>
        </w:tc>
        <w:tc>
          <w:tcPr>
            <w:tcW w:w="340" w:type="dxa"/>
            <w:vAlign w:val="bottom"/>
          </w:tcPr>
          <w:p>
            <w:pPr>
              <w:ind w:left="80"/>
              <w:spacing w:after="0" w:line="155" w:lineRule="exact"/>
              <w:rPr>
                <w:sz w:val="20"/>
                <w:szCs w:val="20"/>
                <w:color w:val="auto"/>
              </w:rPr>
            </w:pPr>
            <w:r>
              <w:rPr>
                <w:rFonts w:ascii="Arial" w:cs="Arial" w:eastAsia="Arial" w:hAnsi="Arial"/>
                <w:sz w:val="14"/>
                <w:szCs w:val="14"/>
                <w:b w:val="1"/>
                <w:bCs w:val="1"/>
                <w:color w:val="auto"/>
              </w:rPr>
              <w:t>in</w:t>
            </w:r>
          </w:p>
        </w:tc>
        <w:tc>
          <w:tcPr>
            <w:tcW w:w="660" w:type="dxa"/>
            <w:vAlign w:val="bottom"/>
            <w:tcBorders>
              <w:top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w w:val="71"/>
              </w:rPr>
              <w:t>thousands)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States</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$ 51,265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60,468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$105,020</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$118,815</w:t>
            </w:r>
          </w:p>
        </w:tc>
        <w:tc>
          <w:tcPr>
            <w:tcW w:w="0" w:type="dxa"/>
            <w:vAlign w:val="bottom"/>
          </w:tcPr>
          <w:p>
            <w:pPr>
              <w:spacing w:after="0"/>
              <w:rPr>
                <w:sz w:val="1"/>
                <w:szCs w:val="1"/>
                <w:color w:val="auto"/>
              </w:rPr>
            </w:pPr>
          </w:p>
        </w:tc>
      </w:tr>
      <w:tr>
        <w:trPr>
          <w:trHeight w:val="216"/>
        </w:trPr>
        <w:tc>
          <w:tcPr>
            <w:tcW w:w="3380" w:type="dxa"/>
            <w:vAlign w:val="bottom"/>
          </w:tcPr>
          <w:p>
            <w:pPr>
              <w:ind w:left="360"/>
              <w:spacing w:after="0"/>
              <w:rPr>
                <w:sz w:val="20"/>
                <w:szCs w:val="20"/>
                <w:color w:val="auto"/>
              </w:rPr>
            </w:pPr>
            <w:r>
              <w:rPr>
                <w:rFonts w:ascii="Arial" w:cs="Arial" w:eastAsia="Arial" w:hAnsi="Arial"/>
                <w:sz w:val="18"/>
                <w:szCs w:val="18"/>
                <w:color w:val="auto"/>
              </w:rPr>
              <w:t>Canada</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701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1,130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1,532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India and Other</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23"/>
        </w:trPr>
        <w:tc>
          <w:tcPr>
            <w:tcW w:w="33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30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$ 52,204</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62,117</w:t>
            </w:r>
          </w:p>
        </w:tc>
        <w:tc>
          <w:tcPr>
            <w:tcW w:w="3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107,267</w:t>
            </w:r>
          </w:p>
        </w:tc>
        <w:tc>
          <w:tcPr>
            <w:tcW w:w="3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121,872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040" w:type="dxa"/>
            <w:vAlign w:val="bottom"/>
            <w:vMerge w:val="restart"/>
          </w:tcPr>
          <w:p>
            <w:pPr>
              <w:jc w:val="right"/>
              <w:ind w:right="1170"/>
              <w:spacing w:after="0"/>
              <w:rPr>
                <w:sz w:val="20"/>
                <w:szCs w:val="20"/>
                <w:color w:val="auto"/>
              </w:rPr>
            </w:pPr>
            <w:r>
              <w:rPr>
                <w:rFonts w:ascii="Arial" w:cs="Arial" w:eastAsia="Arial" w:hAnsi="Arial"/>
                <w:sz w:val="18"/>
                <w:szCs w:val="18"/>
                <w:color w:val="auto"/>
              </w:rPr>
              <w:t>16</w:t>
            </w: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8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702"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ind w:left="560" w:hanging="444"/>
        <w:spacing w:after="0"/>
        <w:tabs>
          <w:tab w:leader="none" w:pos="5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In October 2021, the Financial Accounting Standards Board issued ASU 2021-08, “Business Combinations (Topic 805): Accounting for Contract Assets and Contract Liabilities from Contracts with Customers”. The amendments in this ASU require that an entity (acquirer) recognize and measure contract assets and contract liabilities acquired in a business combination, including contract assets and contract liabilities arising from revenue contracts with customers, as if it had originated the contracts as of the acquisition date. The amendments in this ASU are effective for annual and interim periods beginning after December 15, 2022. We adopted this ASU on January 1, 2023, with no material impact on our financial statements.</w:t>
      </w:r>
    </w:p>
    <w:p>
      <w:pPr>
        <w:spacing w:after="0" w:line="161"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A variety of proposed or otherwise potential accounting standards are currently under consideration by standard-setting organizations and certain regulatory agencies. Because of the tentative and preliminary nature of such proposed standards, management has not yet determined the effect, if any, that the implementation of such proposed standards would have on the Company’s consolidated financial statements.</w:t>
      </w:r>
    </w:p>
    <w:p>
      <w:pPr>
        <w:spacing w:after="0" w:line="310" w:lineRule="exact"/>
        <w:rPr>
          <w:sz w:val="20"/>
          <w:szCs w:val="20"/>
          <w:color w:val="auto"/>
        </w:rPr>
      </w:pPr>
    </w:p>
    <w:p>
      <w:pPr>
        <w:ind w:left="560" w:hanging="444"/>
        <w:spacing w:after="0"/>
        <w:tabs>
          <w:tab w:leader="none" w:pos="5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On August 4, 2023, the Company and certain of its wholly owned subsidiaries (collectively, the “Company Entities”) entered into a Confidential Agreement and General Release (the “Settlement Agreement”) with the former employee whose attorney submitted the December 2022 demand letter described in Note 5 “Commitments and Contingencies” of the Condensed Consolidated Financial Statements included in this quarterly report on Form 10-Q. The Settlement Agreement is scheduled to become effective no later than August 12, 2023 and contains mutual general releases of all claims between the Company Entities and this former employee (including a release of all claims asserted in the December 2022 demand letter). Based on the terms of the Settlement Agreement, the Company expects to pay the settlement amount during the third quarter of 2023. The exact terms of the Settlement Agreement are to remain confidential; however, the settlement amount, net of expected recoveries, was fully reserved in the second quarter of 2023 and is included in Selling, General and Administrative expenses in the Condensed Consolidated Statement of Operations included in this quarterly report on Form 10-Q.</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702"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You should read the following discussion in conjunction with our audited consolidated financial statements and accompanying notes for the year ended December 31, 2022, included in our Annual Report on Form 10-K, filed with the Securities and Exchange Commission (“SEC”) on March 27, 2023.</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including statements about future events, future performance, plans, strategies, expectations, prospects, competitive environment and regulations. Forward-looking statements include all statements that are not historical facts and can be identified by the use of forward-looking terminology such as the words, “may”, “will”, “expect”, “anticipate”, “believe”, “estimate”, “plan”, “intend” or the negative of these terms or similar expressions in this quarterly report on Form 10-Q. We have based these forward-looking statements on our current views with respect to future events and financial performance. Our actual financial performance could differ materially from those projected in the forward-looking statements due to the inherent uncertainty of estimates, forecasts and projections and our financial performance may be better or worse than anticipated. Given these uncertainties, you should not put undue reliance on any forward-looking statements. All of the forward-looking statements are qualified in their entirety by reference to the factors discussed under “Risk Factors”, “Forward-Looking Statements” and elsewhere in our Annual Report on Form 10-K for the year ended December 31, 2022. Forward-looking statements represent our estimates and assumptions only as of the date that they were made. We do not undertake any duty to update forward-looking statements and the estimates and assumptions associated with them, after the date of this quarterly report on Form 10-Q, except to the extent required by applicable securities laws.</w:t>
      </w:r>
    </w:p>
    <w:p>
      <w:pPr>
        <w:spacing w:after="0" w:line="2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Website Access to SEC Reports: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Company’s website is www.mastechdigital.com. The Company’s Annual Report on Form 10-K for the year ended December 31, 2022, current reports on Form 8-K and all other reports filed with the SEC, are available free of charge on the Investors page. The website is updated as soon as reasonably practical after such reports are filed electronically with the SEC.</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Please refer to Note 1 “Summary of Significant Accounting Policies” of the Consolidated Financial Statements and “Management’s Discussion and Analysis of Financial Condition and Results of Operations–Critical Accounting Policies and Estimates” in our Annual Report on Form 10-K for the year ended December 31, 2022 for a more detailed discussion of our significant accounting policies and critical accounting estimates. There were no material changes to these critical accounting policies during the six months ended June 30, 2023.</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Employment-Related Claims Against the Company</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In December 2022, the Company received a demand letter from the attorney of a former employee who resigned from his employment with the Company in November 2022. Among other allegations in the letter, this former employee has asserted various employment-related claims against the Company, including a claim of wrongful termination. No lawsuit has been filed to date, and the parties currently are in negotiations to reach a resolution. For the three and six months ended June 30, 2023, the Company incurred $600,000 and $1 million, respectively, of professional service fees related to this matter. Additionally, the Company recorded a $3.1 million loss reserve, net of recoveries in the second quarter of 2023 with respect to an estimated settlement. These expenses are included in Selling, General and Administrative expenses in the Condensed Consolidated Statement of Operations. Please refer to Note 14 – Subsequent Event for additional information regarding this matter.</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702" w:right="4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a provider of Digital Transformation IT Services to mostly large and medium-sized organizations.</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Our portfolio of offerings includes data management and analytics services, other digital transformation services, such as digital learning services, and IT Staffing Services.</w:t>
      </w:r>
    </w:p>
    <w:p>
      <w:pPr>
        <w:spacing w:after="0" w:line="170"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We operate in two reporting segments – Data and Analytics Services and IT Staffing Services. Our data and analytics services are marketed on a global basis under the brand “Mastech InfoTrellis” and are delivered largely on a project basis with on-site and off-shore resources. These data and analytics capabilities and expertise were acquired through our acquisition of InfoTrellis and enhanced and expanded subsequent to the acquisition. In October 2020, we acquired AmberLeaf Partners, Inc. (“AmberLeaf”), a Chicago-based customer experience consulting firm. This acquisition enhanced our capabilities in customer experience strategy and managed services offerings for a variety of Cloud-based enterprise applications across sales, marketing and customer services organizations. Our IT staffing business combines technical expertise with business process experience to deliver a broad range of staffing services in digital and mainstream technologies, as well as other digital transformation services.</w:t>
      </w:r>
    </w:p>
    <w:p>
      <w:pPr>
        <w:spacing w:after="0" w:line="166" w:lineRule="exact"/>
        <w:rPr>
          <w:sz w:val="20"/>
          <w:szCs w:val="20"/>
          <w:color w:val="auto"/>
        </w:rPr>
      </w:pPr>
    </w:p>
    <w:p>
      <w:pPr>
        <w:ind w:left="120" w:right="300" w:firstLine="440"/>
        <w:spacing w:after="0" w:line="257" w:lineRule="auto"/>
        <w:rPr>
          <w:sz w:val="20"/>
          <w:szCs w:val="20"/>
          <w:color w:val="auto"/>
        </w:rPr>
      </w:pPr>
      <w:r>
        <w:rPr>
          <w:rFonts w:ascii="Arial" w:cs="Arial" w:eastAsia="Arial" w:hAnsi="Arial"/>
          <w:sz w:val="18"/>
          <w:szCs w:val="18"/>
          <w:color w:val="auto"/>
        </w:rPr>
        <w:t>Both business segments provide their services across various industry verticals, including financial services, government, healthcare, manufacturing, retail, technology telecommunications and transportation. In our Data and Analytics Services segment, we evaluate our revenues and gross profits largely by service line. In our IT Staffing Services segment, we evaluate our revenues and gross profits largely by sales channel responsibility. This analysis within both our reporting segments is multi-purposed and includes technologies employed, client relationships, and geographic locations.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Data and Analytics:</w:t>
      </w:r>
    </w:p>
    <w:p>
      <w:pPr>
        <w:spacing w:after="0" w:line="117"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We provide information regarding our new bookings in our Data and Analytics Services segment, which represents the estimated value of client engagements, including those acquired through acquisitions, as well as renewals and extensions to existing contracts, because we believe doing so provides useful trend information regarding changes in the volume of our new business over time. New bookings can vary significantly quarter to quarter, depending, in part, on the timing of the signing of a small number of large engagements. Among other factors, the types of services and solutions to be delivered, the duration of the engagement and the pace and level of client spending impact the timing of the conversion of new bookings to revenues. In addition, substantially all of our contracts are terminable by the client on short notice, with little or no termination penalties. Information regarding our new bookings is not comparable to, nor should it be substituted for, an analysis of our revenues over time. New bookings involve estimates and judgments. There are no third-party standards or requirements governing the calculation of bookings. We do not update our new bookings for material subsequent terminations or reductions related to bookings originally provided in prior periods.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Economic Trends and Outlook:</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Generally, our business outlook is highly correlated to general North American economic conditions. During periods of increasing employment and economic expansion, demand for our services tends to increase. Conversely, during periods of contracting employment and/or a slowing global economy, demand for our services tends to decline. As the economy slowed in 2007 and recessionary conditions emerged in 2008 and 2009, we experienced less demand for our IT Staffing Services. With economic expansion during the period from 2010 through 2019, activity levels improved. However, as the recovery strengthened, we experience increased tightness in the supply-side (skilled IT professionals) of our businesses. These supply-side challenges pressured resource costs and, to some extent, gross margins. As we entered 2020, we were encouraged by continued growth in the domestic job markets and expanding U.S. and global economies. However, with the COVID-19 pandemic starting in the first quarter of 2020, we realized the economic growth would quickly turn into recessionary conditions, which had a material impact on activity levels in both of our business segments. In 2021, we were encouraged by the global rollout of vaccination programs and signs of economic improvement, however, the proliferation of COVID-19 variants has caused further uncertainty and disruption in the global markets. In 2022, COVID-19-related concerns seemed to subside, however, increased inflation, expanding interest rates and concerns about a possible recession created much uncertainty and adversely impacted demand for our services in the second half of the year. During the first half of 2023, economic uncertainty continued to impact our businesses, particularly in our IT Staffing Services segment, as we experienced reduced demand from our clients and prospective clients, largely in the financial services industry. Additionally, it is difficult to predict the impact or duration that these economic pressures may have on our businesses and results of operations in future quarters.</w:t>
      </w:r>
    </w:p>
    <w:p>
      <w:pPr>
        <w:spacing w:after="0" w:line="182"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In addition to tracking general economic conditions in the markets that we service, a large portion of our revenues is generated from a limited number of clients (see Item 1A, the Risk Factor entitled “Our revenues are highly concentrated, and the loss of a significant client would adversely affect our business and revenues” in our Annual Report on Form 10-K for the year ended December 31, 2022). Accordingly, our trends and outlook are additionally impacted by the prospects and well-being of these specific clients. This “account concentration” factor may result in our results of operations deviating from the prevailing economic trends from time to time.</w:t>
      </w:r>
    </w:p>
    <w:p>
      <w:pPr>
        <w:sectPr>
          <w:pgSz w:w="11900" w:h="16838" w:orient="portrait"/>
          <w:cols w:equalWidth="0" w:num="1">
            <w:col w:w="11120"/>
          </w:cols>
          <w:pgMar w:left="320" w:top="702" w:right="459" w:bottom="1440" w:gutter="0" w:footer="0" w:header="0"/>
        </w:sectPr>
      </w:pP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20"/>
          </w:cols>
          <w:pgMar w:left="320" w:top="702" w:right="45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Within our IT Staffing Services segment, a larger portion of our revenues has come from strategic relationships with systems integrators and other staffing organizations. Additionally, many large end users of IT staffing services are employing managed service providers to manage their contractor spending. Both of these dynamics may pressure our staffing gross margins in the future.</w:t>
      </w:r>
    </w:p>
    <w:p>
      <w:pPr>
        <w:spacing w:after="0" w:line="184"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Recent growth in advanced technologies (social, cloud, analytics, mobility, automation) is providing opportunities within our IT Staffing Services segment. However, supply side challenges have proven to be acute with respect to many of these technologies. We believe these challenges will remain in the remainder of 2023.</w:t>
      </w:r>
    </w:p>
    <w:p>
      <w:pPr>
        <w:spacing w:after="0" w:line="184"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Within our Data and Analytics Services segment, many customers are satisfying their data and analytics needs using a holistic approach. This often results in the customer using one vendor partner rather than multiple vendors. We have responded to this trend by establishing a service offering called “Center of Excellence,” which bundles a customer’s total requirements under a multi-year contract. This concept allows us to better understand the customer’s longer-term strategy with respect to data and analytics and effectively address such needs.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Results of Operations for the Three Months Ended June 30, 2023 as Compared to the Three Months Ended June 30, 2022:</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Revenues for the three months ended June 30, 2023 totaled $52.2 million, compared to $62.1 million for the corresponding three month period in 2022. This 16% year-over-year revenue decrease reflected a 22% decline in our Data and Analytics Services segment and a 15% decline in our IT Staffing Services segment. For the three months ended June 30, 2023, the Company had one client that had revenues in excess of 10% of total revenues (CGI = 24.0%). For the three months ended June 30, 2022, the Company had the same one client with revenues in excess of 10% of total revenues (CGI</w:t>
      </w:r>
    </w:p>
    <w:p>
      <w:pPr>
        <w:spacing w:after="0" w:line="1" w:lineRule="exact"/>
        <w:rPr>
          <w:sz w:val="20"/>
          <w:szCs w:val="20"/>
          <w:color w:val="auto"/>
        </w:rPr>
      </w:pPr>
    </w:p>
    <w:p>
      <w:pPr>
        <w:ind w:left="120" w:hanging="4"/>
        <w:spacing w:after="0" w:line="260" w:lineRule="auto"/>
        <w:tabs>
          <w:tab w:leader="none" w:pos="266" w:val="left"/>
        </w:tabs>
        <w:numPr>
          <w:ilvl w:val="0"/>
          <w:numId w:val="17"/>
        </w:numPr>
        <w:rPr>
          <w:rFonts w:ascii="Arial" w:cs="Arial" w:eastAsia="Arial" w:hAnsi="Arial"/>
          <w:sz w:val="18"/>
          <w:szCs w:val="18"/>
          <w:color w:val="auto"/>
        </w:rPr>
      </w:pPr>
      <w:r>
        <w:rPr>
          <w:rFonts w:ascii="Arial" w:cs="Arial" w:eastAsia="Arial" w:hAnsi="Arial"/>
          <w:sz w:val="18"/>
          <w:szCs w:val="18"/>
          <w:color w:val="auto"/>
        </w:rPr>
        <w:t>22.3%). The Company’s top ten clients represented approximately 55% and 52% of total revenues for the three months ended June 30, 2023 and 2022, respectively.</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Below is a tabular presentation of revenues by reportable segment for the three months ended June 30, 2023 and 2022, respectively:</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960" w:type="dxa"/>
            <w:vAlign w:val="bottom"/>
            <w:vMerge w:val="restart"/>
          </w:tcPr>
          <w:p>
            <w:pPr>
              <w:spacing w:after="0"/>
              <w:rPr>
                <w:sz w:val="20"/>
                <w:szCs w:val="20"/>
                <w:color w:val="auto"/>
              </w:rPr>
            </w:pPr>
            <w:r>
              <w:rPr>
                <w:rFonts w:ascii="Arial" w:cs="Arial" w:eastAsia="Arial" w:hAnsi="Arial"/>
                <w:sz w:val="14"/>
                <w:szCs w:val="14"/>
                <w:b w:val="1"/>
                <w:bCs w:val="1"/>
                <w:color w:val="auto"/>
                <w:w w:val="90"/>
              </w:rPr>
              <w:t>Revenues (Amounts in millions)</w:t>
            </w:r>
          </w:p>
        </w:tc>
        <w:tc>
          <w:tcPr>
            <w:tcW w:w="2820" w:type="dxa"/>
            <w:vAlign w:val="bottom"/>
            <w:vMerge w:val="restart"/>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w w:val="92"/>
              </w:rPr>
              <w:t>Three Months Ended</w:t>
            </w:r>
          </w:p>
        </w:tc>
        <w:tc>
          <w:tcPr>
            <w:tcW w:w="22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1960" w:type="dxa"/>
            <w:vAlign w:val="bottom"/>
            <w:tcBorders>
              <w:bottom w:val="single" w:sz="8" w:color="auto"/>
            </w:tcBorders>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8"/>
              </w:rPr>
              <w:t>June 30, 2023</w:t>
            </w:r>
          </w:p>
        </w:tc>
        <w:tc>
          <w:tcPr>
            <w:tcW w:w="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6"/>
              </w:rPr>
              <w:t>June 30, 2022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w w:val="86"/>
              </w:rPr>
              <w:t>Data and Analytics Services</w:t>
            </w:r>
          </w:p>
        </w:tc>
        <w:tc>
          <w:tcPr>
            <w:tcW w:w="2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1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IT Staffing Services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9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Revenues from our Data and Analytics Services segment totaled $8.8 million in the second quarter ended June 30, 2023, compared to</w:t>
      </w:r>
    </w:p>
    <w:p>
      <w:pPr>
        <w:spacing w:after="0" w:line="35" w:lineRule="exact"/>
        <w:rPr>
          <w:sz w:val="20"/>
          <w:szCs w:val="20"/>
          <w:color w:val="auto"/>
        </w:rPr>
      </w:pPr>
    </w:p>
    <w:p>
      <w:pPr>
        <w:jc w:val="both"/>
        <w:ind w:left="120" w:right="240"/>
        <w:spacing w:after="0" w:line="255" w:lineRule="auto"/>
        <w:rPr>
          <w:sz w:val="20"/>
          <w:szCs w:val="20"/>
          <w:color w:val="auto"/>
        </w:rPr>
      </w:pPr>
      <w:r>
        <w:rPr>
          <w:rFonts w:ascii="Arial" w:cs="Arial" w:eastAsia="Arial" w:hAnsi="Arial"/>
          <w:sz w:val="18"/>
          <w:szCs w:val="18"/>
          <w:color w:val="auto"/>
        </w:rPr>
        <w:t>$11.2 million in the corresponding period last year. The year-over-year decline of 22% reflected spending reductions on several existing projects and soft bookings during the second half of 2022 and first quarter of 2023. New bookings in the second quarter of 2023 totaled $10.1 million, which were $1.7 million higher than the previous quarter.</w:t>
      </w:r>
    </w:p>
    <w:p>
      <w:pPr>
        <w:spacing w:after="0" w:line="190"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Revenues from our IT Staffing Services segment totaled $43.4 million in the three months ended June 30, 2023, compared to $50.9 million during the corresponding 2022 period. This 15% decrease reflected lower demand for our services, particularly with respect to financial services clients, which resulted in a decline of 83 billable consultants during the 2023 second quarter. Billable consultants at June 30, 2023 totaled 1,041-consultants compared to 1,344-consultants one year earlier. Our average bill rate during the second quarter of 2023 was $76.76 per hour compared to $80.15 per hour in the corresponding 2022 quarter. The decrease in average bill rate was due to lower rates on new assignments during the first half of 2023 and was reflective of the types of skill sets that we deployed. Permanent placement / fee revenues were approximately $0.2 million during the 2023 second quarter, which were $0.3 million lower than in the corresponding 2022 quarter.</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Margins: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Gross profits in the second quarter of 2023 totaled $13.6 million, compared to the second quarter of 2022 gross profits of approximately</w:t>
      </w:r>
    </w:p>
    <w:p>
      <w:pPr>
        <w:spacing w:after="0" w:line="35" w:lineRule="exact"/>
        <w:rPr>
          <w:sz w:val="20"/>
          <w:szCs w:val="20"/>
          <w:color w:val="auto"/>
        </w:rPr>
      </w:pPr>
    </w:p>
    <w:p>
      <w:pPr>
        <w:ind w:left="120" w:right="140"/>
        <w:spacing w:after="0" w:line="290" w:lineRule="auto"/>
        <w:rPr>
          <w:sz w:val="20"/>
          <w:szCs w:val="20"/>
          <w:color w:val="auto"/>
        </w:rPr>
      </w:pPr>
      <w:r>
        <w:rPr>
          <w:rFonts w:ascii="Arial" w:cs="Arial" w:eastAsia="Arial" w:hAnsi="Arial"/>
          <w:sz w:val="17"/>
          <w:szCs w:val="17"/>
          <w:color w:val="auto"/>
        </w:rPr>
        <w:t>$16.7 million. Gross profit as a percentage of revenue was 26.1% for the three-month period ended June 30, 2023, compared to 27.0% during the same period of 2022. This 90-basis point decline in gross margins reflected lower margins in our IT Staffing Services segment.</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702"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Below is a tabular presentation of gross margin by reporting segment for the three months ended June 30, 2023 and 2022, respectively:</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Arial" w:cs="Arial" w:eastAsia="Arial" w:hAnsi="Arial"/>
                <w:sz w:val="14"/>
                <w:szCs w:val="14"/>
                <w:b w:val="1"/>
                <w:bCs w:val="1"/>
                <w:color w:val="auto"/>
                <w:w w:val="93"/>
              </w:rPr>
              <w:t>Gross Margin</w:t>
            </w:r>
          </w:p>
        </w:tc>
        <w:tc>
          <w:tcPr>
            <w:tcW w:w="3640" w:type="dxa"/>
            <w:vAlign w:val="bottom"/>
            <w:vMerge w:val="restart"/>
          </w:tcPr>
          <w:p>
            <w:pPr>
              <w:spacing w:after="0"/>
              <w:rPr>
                <w:sz w:val="14"/>
                <w:szCs w:val="14"/>
                <w:color w:val="auto"/>
              </w:rPr>
            </w:pPr>
          </w:p>
        </w:tc>
        <w:tc>
          <w:tcPr>
            <w:tcW w:w="19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Three Months Ended</w:t>
            </w:r>
          </w:p>
        </w:tc>
        <w:tc>
          <w:tcPr>
            <w:tcW w:w="1940" w:type="dxa"/>
            <w:vAlign w:val="bottom"/>
            <w:gridSpan w:val="3"/>
          </w:tcPr>
          <w:p>
            <w:pPr>
              <w:jc w:val="center"/>
              <w:ind w:left="179"/>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860" w:type="dxa"/>
            <w:vAlign w:val="bottom"/>
            <w:tcBorders>
              <w:bottom w:val="single" w:sz="8" w:color="auto"/>
            </w:tcBorders>
            <w:vMerge w:val="continue"/>
          </w:tcPr>
          <w:p>
            <w:pPr>
              <w:spacing w:after="0"/>
              <w:rPr>
                <w:sz w:val="14"/>
                <w:szCs w:val="14"/>
                <w:color w:val="auto"/>
              </w:rPr>
            </w:pPr>
          </w:p>
        </w:tc>
        <w:tc>
          <w:tcPr>
            <w:tcW w:w="3640" w:type="dxa"/>
            <w:vAlign w:val="bottom"/>
            <w:vMerge w:val="continue"/>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June 30, 2023</w:t>
            </w: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2022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Data and Analytics Services</w:t>
            </w:r>
          </w:p>
        </w:tc>
        <w:tc>
          <w:tcPr>
            <w:tcW w:w="19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45.6%</w:t>
            </w:r>
          </w:p>
        </w:tc>
        <w:tc>
          <w:tcPr>
            <w:tcW w:w="1940" w:type="dxa"/>
            <w:vAlign w:val="bottom"/>
            <w:gridSpan w:val="3"/>
            <w:shd w:val="clear" w:color="auto" w:fill="CCEEFF"/>
          </w:tcPr>
          <w:p>
            <w:pPr>
              <w:ind w:left="1440"/>
              <w:spacing w:after="0"/>
              <w:rPr>
                <w:sz w:val="20"/>
                <w:szCs w:val="20"/>
                <w:color w:val="auto"/>
              </w:rPr>
            </w:pPr>
            <w:r>
              <w:rPr>
                <w:rFonts w:ascii="Arial" w:cs="Arial" w:eastAsia="Arial" w:hAnsi="Arial"/>
                <w:sz w:val="18"/>
                <w:szCs w:val="18"/>
                <w:color w:val="auto"/>
                <w:w w:val="93"/>
              </w:rPr>
              <w:t>43.6%</w:t>
            </w: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color w:val="auto"/>
              </w:rPr>
              <w:t>IT Staffing Services</w:t>
            </w:r>
          </w:p>
        </w:tc>
        <w:tc>
          <w:tcPr>
            <w:tcW w:w="130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85"/>
              </w:rPr>
              <w:t>22.2</w:t>
            </w: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85"/>
              </w:rPr>
              <w:t>23.3</w:t>
            </w: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gross margin</w:t>
            </w:r>
          </w:p>
        </w:tc>
        <w:tc>
          <w:tcPr>
            <w:tcW w:w="19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26.1%</w:t>
            </w: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93"/>
              </w:rPr>
              <w:t>27.0%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Gross margins from our Data and Analytics Services segment were 45.6% of revenues during the second quarter of 2023, which represented an increase of 200-basis points compared to the second quarter of 2022. The margin improvement reflected higher utilization in the 2023 quarter compared to the second quarter of 2022.</w:t>
      </w:r>
    </w:p>
    <w:p>
      <w:pPr>
        <w:spacing w:after="0" w:line="184"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Gross margins from our IT Staffing Services segment were 22.2% in the second quarter of 2023 compared to 23.3% during the corresponding quarter of 2022. This 110-basis point decline was due to lower permanent placement fees and higher medical claims related to our self-insured healthcare program.</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Selling, General and Administrative (“SG&amp;A”) Expenses:</w:t>
      </w:r>
    </w:p>
    <w:p>
      <w:pPr>
        <w:spacing w:after="0" w:line="117"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Below is a tabular presentation of operating expenses by sales, operations, amortization of acquired intangible assets, the employment-related claim, net of recoveries and general and administrative categories for the three months ended June 30, 2023 and 2022, respectively:</w:t>
      </w:r>
    </w:p>
    <w:p>
      <w:pPr>
        <w:spacing w:after="0" w:line="13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2180" w:type="dxa"/>
            <w:vAlign w:val="bottom"/>
            <w:gridSpan w:val="4"/>
          </w:tcPr>
          <w:p>
            <w:pPr>
              <w:ind w:left="8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4860" w:type="dxa"/>
            <w:vAlign w:val="bottom"/>
            <w:gridSpan w:val="4"/>
          </w:tcPr>
          <w:p>
            <w:pPr>
              <w:spacing w:after="0"/>
              <w:rPr>
                <w:sz w:val="20"/>
                <w:szCs w:val="20"/>
                <w:color w:val="auto"/>
              </w:rPr>
            </w:pPr>
            <w:r>
              <w:rPr>
                <w:rFonts w:ascii="Arial" w:cs="Arial" w:eastAsia="Arial" w:hAnsi="Arial"/>
                <w:sz w:val="14"/>
                <w:szCs w:val="14"/>
                <w:b w:val="1"/>
                <w:bCs w:val="1"/>
                <w:color w:val="auto"/>
              </w:rPr>
              <w:t>SG&amp;A Expenses (Amounts in millions)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June 30, 2023</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4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Data and Analytics Services Segment</w:t>
            </w:r>
          </w:p>
        </w:tc>
        <w:tc>
          <w:tcPr>
            <w:tcW w:w="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Sales and Marketing</w:t>
            </w:r>
          </w:p>
        </w:tc>
        <w:tc>
          <w:tcPr>
            <w:tcW w:w="20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2.0</w:t>
            </w:r>
          </w:p>
        </w:tc>
        <w:tc>
          <w:tcPr>
            <w:tcW w:w="1000" w:type="dxa"/>
            <w:vAlign w:val="bottom"/>
            <w:tcBorders>
              <w:top w:val="single" w:sz="8" w:color="CCEEFF"/>
            </w:tcBorders>
            <w:gridSpan w:val="2"/>
          </w:tcPr>
          <w:p>
            <w:pPr>
              <w:ind w:left="84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1.8</w:t>
            </w: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General &amp; Administrative</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Subtotal Data and Analytics Services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IT Staffing Services Segment</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220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Operations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&amp; Administrative</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3"/>
          </w:tcPr>
          <w:p>
            <w:pPr>
              <w:ind w:left="340"/>
              <w:spacing w:after="0"/>
              <w:rPr>
                <w:sz w:val="20"/>
                <w:szCs w:val="20"/>
                <w:color w:val="auto"/>
              </w:rPr>
            </w:pPr>
            <w:r>
              <w:rPr>
                <w:rFonts w:ascii="Arial" w:cs="Arial" w:eastAsia="Arial" w:hAnsi="Arial"/>
                <w:sz w:val="18"/>
                <w:szCs w:val="18"/>
                <w:b w:val="1"/>
                <w:bCs w:val="1"/>
                <w:color w:val="auto"/>
              </w:rPr>
              <w:t>Subtotal IT Staffing Services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8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Acquired Intangible Assets</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Employment-related Claim, net of Recoveries</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Total SG&amp;A Expenses</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SG&amp;A expenses for the three months ended June 30, 2023, totaled $16.5 million or 31.6% of total revenues, compared to $13.2 million or 21.2% of total revenues for the three months ended June 30, 2022. Excluding the employment-related claim, net of recoveries in the 2023 period and the amortization of acquired intangible assets in both periods, SG&amp;A expense as a percentage of total revenues would have been 24.3% and 20.0%, respectively.</w:t>
      </w:r>
    </w:p>
    <w:p>
      <w:pPr>
        <w:spacing w:after="0" w:line="18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Fluctuations within SG&amp;A expense components during the second quarter of 2023, compared to the second quarter of 2022, included the following:</w:t>
      </w:r>
    </w:p>
    <w:p>
      <w:pPr>
        <w:spacing w:after="0" w:line="76" w:lineRule="exact"/>
        <w:rPr>
          <w:sz w:val="20"/>
          <w:szCs w:val="20"/>
          <w:color w:val="auto"/>
        </w:rPr>
      </w:pPr>
    </w:p>
    <w:p>
      <w:pPr>
        <w:ind w:left="1100" w:right="40" w:hanging="433"/>
        <w:spacing w:after="0" w:line="286" w:lineRule="auto"/>
        <w:tabs>
          <w:tab w:leader="none" w:pos="11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Sales expense was flat in the 2023 period compared to the corresponding 2022 period. An increase of $0.2 million related to our Data and Analytics Services segment, which reflected additional staff in the sales organization. Sales expense in our IT Staffing Services segment decreased by $0.2 million, largely due to lower commissions, bonuses and other variable expenses.</w:t>
      </w:r>
    </w:p>
    <w:p>
      <w:pPr>
        <w:spacing w:after="0" w:line="70" w:lineRule="exact"/>
        <w:rPr>
          <w:rFonts w:ascii="Arial" w:cs="Arial" w:eastAsia="Arial" w:hAnsi="Arial"/>
          <w:sz w:val="17"/>
          <w:szCs w:val="17"/>
          <w:color w:val="auto"/>
        </w:rPr>
      </w:pPr>
    </w:p>
    <w:p>
      <w:pPr>
        <w:jc w:val="both"/>
        <w:ind w:left="1100" w:right="380" w:hanging="433"/>
        <w:spacing w:after="0" w:line="311" w:lineRule="auto"/>
        <w:tabs>
          <w:tab w:leader="none" w:pos="11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Operations expense decreased $1.1 million in the 2023 period compared to the corresponding 2022 period. In our Data and Analytics Services segment operating expense decreased by $0.3 million due to staff reductions. In our IT Staffing Services segment operating expense declined by $0.8 million due to staff decreases and lower variable expenses related to the lower revenues.</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60"/>
          </w:cols>
          <w:pgMar w:left="320" w:top="702" w:right="5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1100" w:right="20" w:hanging="433"/>
        <w:spacing w:after="0" w:line="301" w:lineRule="auto"/>
        <w:tabs>
          <w:tab w:leader="none" w:pos="11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General and administrative expense increased by $1.4 million in the 2023 period compared to the corresponding 2022 period. General and administrative expense in our Data and Analytics Services segment increased by $0.9 million due to executive leadership staff increases and higher professional services fees of $0.6 million. In our IT Staffing Services segment, general and administrative expense increased by $0.5 million due to higher corporate-related expenses, an increase in travel expense and increases in cyber-security spend.</w:t>
      </w:r>
    </w:p>
    <w:p>
      <w:pPr>
        <w:spacing w:after="0" w:line="62" w:lineRule="exact"/>
        <w:rPr>
          <w:rFonts w:ascii="Arial" w:cs="Arial" w:eastAsia="Arial" w:hAnsi="Arial"/>
          <w:sz w:val="16"/>
          <w:szCs w:val="16"/>
          <w:color w:val="auto"/>
        </w:rPr>
      </w:pPr>
    </w:p>
    <w:p>
      <w:pPr>
        <w:ind w:left="1100" w:hanging="433"/>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Amortization of acquired intangible assets was $0.7 million in the 2023 period versus $0.8 in the corresponding 2022 period.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Employment-related claim, net of recoveries totaled $3.1 million in the 2023 period compared to no expense in the second quarter of 2022.</w:t>
      </w:r>
    </w:p>
    <w:p>
      <w:pPr>
        <w:spacing w:after="0" w:line="3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 / (Expense) Components: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Other Income / (Expense) for the three months ended June 30, 2023, consisted of interest income of $80,000 and foreign exchange losses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($30,000). For the three months ended June 30, 2022, Other Income / (Expense) consisted of interest expense of ($127,000) and foreign exchange gains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$195,000. The lower level of interest expense was reflective of not having any bank debt outstanding after making the final term loan payment on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Term Loan in January 2023.</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Expense (Benefit):</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Income tax expense (benefit) for the three months ended June 30, 2023, totaled ($605,000), representing an effective tax rate on pre-tax (loss) of (21.8%), compared to $1.2 million for the three months ended June 30, 2022, which represented a 32.6% effective tax rate on pre-tax income. The lower effective tax rate on 2023’s pre-tax loss largely reflected our tax valuation allowance. In the 2022 period our effective tax rate was impacted by our tax valuation allowance and the impact of forfeited vested stock options on income tax expense.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Results of Operations for the Six Months Ended June 30, 2023 as Compared to the Six Months Ended June 30, 2022:</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left="120" w:right="180" w:firstLine="440"/>
        <w:spacing w:after="0" w:line="286" w:lineRule="auto"/>
        <w:rPr>
          <w:sz w:val="20"/>
          <w:szCs w:val="20"/>
          <w:color w:val="auto"/>
        </w:rPr>
      </w:pPr>
      <w:r>
        <w:rPr>
          <w:rFonts w:ascii="Arial" w:cs="Arial" w:eastAsia="Arial" w:hAnsi="Arial"/>
          <w:sz w:val="16"/>
          <w:szCs w:val="16"/>
          <w:color w:val="auto"/>
        </w:rPr>
        <w:t>Revenues for the six months ended June 30, 2023, totaled $107.3 million, compared to $121.9 million for the corresponding six month period in 2022. This 12% year-over-year revenue decrease reflected a 15% decrease in our Data and Analytics Services segment and an 11% decrease in our IT Staffing Services segment. For the six months ended June 30, 2023, the Company had one client that had revenues in excess of 10% of total revenues (CGI = 24.8%). For the six months ended June 30, 2022, the Company had the same one client that had revenues in excess of 10% of total revenues</w:t>
      </w:r>
    </w:p>
    <w:p>
      <w:pPr>
        <w:spacing w:after="0" w:line="1" w:lineRule="exact"/>
        <w:rPr>
          <w:sz w:val="20"/>
          <w:szCs w:val="20"/>
          <w:color w:val="auto"/>
        </w:rPr>
      </w:pPr>
    </w:p>
    <w:p>
      <w:pPr>
        <w:ind w:left="120" w:right="200"/>
        <w:spacing w:after="0" w:line="260" w:lineRule="auto"/>
        <w:rPr>
          <w:sz w:val="20"/>
          <w:szCs w:val="20"/>
          <w:color w:val="auto"/>
        </w:rPr>
      </w:pPr>
      <w:r>
        <w:rPr>
          <w:rFonts w:ascii="Arial" w:cs="Arial" w:eastAsia="Arial" w:hAnsi="Arial"/>
          <w:sz w:val="18"/>
          <w:szCs w:val="18"/>
          <w:color w:val="auto"/>
        </w:rPr>
        <w:t>(CGI = 20.1%). The Company’s top ten clients represented approximately 55% and 52% of total revenues for the six months ended June 30, 2023 and 2022, respectively.</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Below is a tabular presentation of revenues by reportable segment for the six months ended June 30, 2023 and 2022, respectively:</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960" w:type="dxa"/>
            <w:vAlign w:val="bottom"/>
            <w:vMerge w:val="restart"/>
          </w:tcPr>
          <w:p>
            <w:pPr>
              <w:spacing w:after="0"/>
              <w:rPr>
                <w:sz w:val="20"/>
                <w:szCs w:val="20"/>
                <w:color w:val="auto"/>
              </w:rPr>
            </w:pPr>
            <w:r>
              <w:rPr>
                <w:rFonts w:ascii="Arial" w:cs="Arial" w:eastAsia="Arial" w:hAnsi="Arial"/>
                <w:sz w:val="14"/>
                <w:szCs w:val="14"/>
                <w:b w:val="1"/>
                <w:bCs w:val="1"/>
                <w:color w:val="auto"/>
                <w:w w:val="90"/>
              </w:rPr>
              <w:t>Revenues (Amounts in millions)</w:t>
            </w:r>
          </w:p>
        </w:tc>
        <w:tc>
          <w:tcPr>
            <w:tcW w:w="1680" w:type="dxa"/>
            <w:vAlign w:val="bottom"/>
            <w:vMerge w:val="restart"/>
          </w:tcPr>
          <w:p>
            <w:pPr>
              <w:spacing w:after="0"/>
              <w:rPr>
                <w:sz w:val="14"/>
                <w:szCs w:val="14"/>
                <w:color w:val="auto"/>
              </w:rPr>
            </w:pPr>
          </w:p>
        </w:tc>
        <w:tc>
          <w:tcPr>
            <w:tcW w:w="2760" w:type="dxa"/>
            <w:vAlign w:val="bottom"/>
            <w:gridSpan w:val="3"/>
          </w:tcPr>
          <w:p>
            <w:pPr>
              <w:ind w:left="1620"/>
              <w:spacing w:after="0"/>
              <w:rPr>
                <w:sz w:val="20"/>
                <w:szCs w:val="20"/>
                <w:color w:val="auto"/>
              </w:rPr>
            </w:pPr>
            <w:r>
              <w:rPr>
                <w:rFonts w:ascii="Arial" w:cs="Arial" w:eastAsia="Arial" w:hAnsi="Arial"/>
                <w:sz w:val="14"/>
                <w:szCs w:val="14"/>
                <w:b w:val="1"/>
                <w:bCs w:val="1"/>
                <w:color w:val="auto"/>
                <w:w w:val="92"/>
              </w:rPr>
              <w:t>Six Months Ended</w:t>
            </w:r>
          </w:p>
        </w:tc>
        <w:tc>
          <w:tcPr>
            <w:tcW w:w="1960" w:type="dxa"/>
            <w:vAlign w:val="bottom"/>
            <w:gridSpan w:val="4"/>
          </w:tcPr>
          <w:p>
            <w:pPr>
              <w:ind w:left="78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71"/>
        </w:trPr>
        <w:tc>
          <w:tcPr>
            <w:tcW w:w="1960" w:type="dxa"/>
            <w:vAlign w:val="bottom"/>
            <w:tcBorders>
              <w:bottom w:val="single" w:sz="8" w:color="auto"/>
            </w:tcBorders>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2"/>
              </w:rPr>
              <w:t>June 30, 2023</w:t>
            </w:r>
          </w:p>
        </w:tc>
        <w:tc>
          <w:tcPr>
            <w:tcW w:w="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4"/>
              </w:rPr>
              <w:t>June 30, 2022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w w:val="86"/>
              </w:rPr>
              <w:t>Data and Analytics Services</w:t>
            </w:r>
          </w:p>
        </w:tc>
        <w:tc>
          <w:tcPr>
            <w:tcW w:w="16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40" w:type="dxa"/>
            <w:vAlign w:val="bottom"/>
            <w:gridSpan w:val="2"/>
          </w:tcPr>
          <w:p>
            <w:pPr>
              <w:spacing w:after="0"/>
              <w:rPr>
                <w:sz w:val="20"/>
                <w:szCs w:val="20"/>
                <w:color w:val="auto"/>
              </w:rPr>
            </w:pPr>
            <w:r>
              <w:rPr>
                <w:rFonts w:ascii="Arial" w:cs="Arial" w:eastAsia="Arial" w:hAnsi="Arial"/>
                <w:sz w:val="18"/>
                <w:szCs w:val="18"/>
                <w:color w:val="auto"/>
              </w:rPr>
              <w:t>IT Staffing Services</w:t>
            </w:r>
          </w:p>
        </w:tc>
        <w:tc>
          <w:tcPr>
            <w:tcW w:w="1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Revenues from our Data and Analytics Services segment totaled $18.2 million during the six months ended June 30, 2023, compared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$21.4 million in the corresponding six-month period last year. The 15% year-over-year decline largely reflected soft bookings performances in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second half of 2022 and first quarter of 2023, as well as client reductions in resources on several existing projects in the 2023 period.</w:t>
      </w:r>
    </w:p>
    <w:p>
      <w:pPr>
        <w:spacing w:after="0" w:line="21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Revenues from our IT Staffing Services segment totaled $89.1 million in the six months ended June 30, 2023, compared to $100.5 million during the corresponding 2022 period. This 11% decrease reflected a lower level of billable consultants due to curtailed demand for staffing services and a lower average bill rate. The lower demand was more pronounced at financial services clients.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702"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Margins: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Gross profits in the six months ended June 30, 2023 totaled $27.1 million compared to $32.7 million in the corresponding period last year. Gross profit as a percentage of revenue was 25.3% for the six month period ended June 30, 2023, compared to 26.8% during the same period of 2022. This 150-basis point decline largely reflected declines at both of our business segments.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Below is a tabular presentation of gross margin by reporting segment for the six months ended June 30, 2023 and 2022, respectively:</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Arial" w:cs="Arial" w:eastAsia="Arial" w:hAnsi="Arial"/>
                <w:sz w:val="14"/>
                <w:szCs w:val="14"/>
                <w:b w:val="1"/>
                <w:bCs w:val="1"/>
                <w:color w:val="auto"/>
                <w:w w:val="93"/>
              </w:rPr>
              <w:t>Gross Margin</w:t>
            </w:r>
          </w:p>
        </w:tc>
        <w:tc>
          <w:tcPr>
            <w:tcW w:w="4020" w:type="dxa"/>
            <w:vAlign w:val="bottom"/>
            <w:vMerge w:val="restart"/>
          </w:tcPr>
          <w:p>
            <w:pPr>
              <w:spacing w:after="0"/>
              <w:rPr>
                <w:sz w:val="14"/>
                <w:szCs w:val="14"/>
                <w:color w:val="auto"/>
              </w:rPr>
            </w:pPr>
          </w:p>
        </w:tc>
        <w:tc>
          <w:tcPr>
            <w:tcW w:w="17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Six Months Ended</w:t>
            </w:r>
          </w:p>
        </w:tc>
        <w:tc>
          <w:tcPr>
            <w:tcW w:w="1760" w:type="dxa"/>
            <w:vAlign w:val="bottom"/>
            <w:gridSpan w:val="3"/>
          </w:tcPr>
          <w:p>
            <w:pPr>
              <w:jc w:val="center"/>
              <w:ind w:left="176"/>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860" w:type="dxa"/>
            <w:vAlign w:val="bottom"/>
            <w:tcBorders>
              <w:bottom w:val="single" w:sz="8" w:color="auto"/>
            </w:tcBorders>
            <w:vMerge w:val="continue"/>
          </w:tcPr>
          <w:p>
            <w:pPr>
              <w:spacing w:after="0"/>
              <w:rPr>
                <w:sz w:val="14"/>
                <w:szCs w:val="14"/>
                <w:color w:val="auto"/>
              </w:rPr>
            </w:pPr>
          </w:p>
        </w:tc>
        <w:tc>
          <w:tcPr>
            <w:tcW w:w="4020" w:type="dxa"/>
            <w:vAlign w:val="bottom"/>
            <w:vMerge w:val="continue"/>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2023</w:t>
            </w: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2022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Data and Analytics Services</w:t>
            </w:r>
          </w:p>
        </w:tc>
        <w:tc>
          <w:tcPr>
            <w:tcW w:w="17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41.9%</w:t>
            </w:r>
          </w:p>
        </w:tc>
        <w:tc>
          <w:tcPr>
            <w:tcW w:w="176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w w:val="93"/>
              </w:rPr>
              <w:t>44.3%</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IT Staffing Services</w:t>
            </w:r>
          </w:p>
        </w:tc>
        <w:tc>
          <w:tcPr>
            <w:tcW w:w="1160" w:type="dxa"/>
            <w:vAlign w:val="bottom"/>
          </w:tcPr>
          <w:p>
            <w:pPr>
              <w:ind w:left="840"/>
              <w:spacing w:after="0"/>
              <w:rPr>
                <w:sz w:val="20"/>
                <w:szCs w:val="20"/>
                <w:color w:val="auto"/>
              </w:rPr>
            </w:pPr>
            <w:r>
              <w:rPr>
                <w:rFonts w:ascii="Arial" w:cs="Arial" w:eastAsia="Arial" w:hAnsi="Arial"/>
                <w:sz w:val="18"/>
                <w:szCs w:val="18"/>
                <w:color w:val="auto"/>
                <w:w w:val="85"/>
              </w:rPr>
              <w:t>21.9</w:t>
            </w:r>
          </w:p>
        </w:tc>
        <w:tc>
          <w:tcPr>
            <w:tcW w:w="560" w:type="dxa"/>
            <w:vAlign w:val="bottom"/>
          </w:tcPr>
          <w:p>
            <w:pPr>
              <w:spacing w:after="0"/>
              <w:rPr>
                <w:sz w:val="19"/>
                <w:szCs w:val="19"/>
                <w:color w:val="auto"/>
              </w:rPr>
            </w:pPr>
          </w:p>
        </w:tc>
        <w:tc>
          <w:tcPr>
            <w:tcW w:w="1580" w:type="dxa"/>
            <w:vAlign w:val="bottom"/>
            <w:gridSpan w:val="2"/>
          </w:tcPr>
          <w:p>
            <w:pPr>
              <w:ind w:left="1260"/>
              <w:spacing w:after="0"/>
              <w:rPr>
                <w:sz w:val="20"/>
                <w:szCs w:val="20"/>
                <w:color w:val="auto"/>
              </w:rPr>
            </w:pPr>
            <w:r>
              <w:rPr>
                <w:rFonts w:ascii="Arial" w:cs="Arial" w:eastAsia="Arial" w:hAnsi="Arial"/>
                <w:sz w:val="18"/>
                <w:szCs w:val="18"/>
                <w:color w:val="auto"/>
                <w:w w:val="85"/>
              </w:rPr>
              <w:t>23.1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gross margin</w:t>
            </w:r>
          </w:p>
        </w:tc>
        <w:tc>
          <w:tcPr>
            <w:tcW w:w="1720" w:type="dxa"/>
            <w:vAlign w:val="bottom"/>
            <w:tcBorders>
              <w:top w:val="single" w:sz="8" w:color="auto"/>
            </w:tcBorders>
            <w:gridSpan w:val="2"/>
            <w:shd w:val="clear" w:color="auto" w:fill="CCEEFF"/>
          </w:tcPr>
          <w:p>
            <w:pPr>
              <w:ind w:left="840"/>
              <w:spacing w:after="0"/>
              <w:rPr>
                <w:sz w:val="20"/>
                <w:szCs w:val="20"/>
                <w:color w:val="auto"/>
              </w:rPr>
            </w:pPr>
            <w:r>
              <w:rPr>
                <w:rFonts w:ascii="Arial" w:cs="Arial" w:eastAsia="Arial" w:hAnsi="Arial"/>
                <w:sz w:val="18"/>
                <w:szCs w:val="18"/>
                <w:color w:val="auto"/>
              </w:rPr>
              <w:t>25.3%</w:t>
            </w:r>
          </w:p>
        </w:tc>
        <w:tc>
          <w:tcPr>
            <w:tcW w:w="440" w:type="dxa"/>
            <w:vAlign w:val="bottom"/>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ind w:left="820"/>
              <w:spacing w:after="0"/>
              <w:rPr>
                <w:sz w:val="20"/>
                <w:szCs w:val="20"/>
                <w:color w:val="auto"/>
              </w:rPr>
            </w:pPr>
            <w:r>
              <w:rPr>
                <w:rFonts w:ascii="Arial" w:cs="Arial" w:eastAsia="Arial" w:hAnsi="Arial"/>
                <w:sz w:val="18"/>
                <w:szCs w:val="18"/>
                <w:color w:val="auto"/>
                <w:w w:val="93"/>
              </w:rPr>
              <w:t>26.8%</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auto"/>
        </w:rPr>
        <w:t>Gross margins from our Data and Analytics Services segment were 41.9% of revenues during the six-month period ended June 30, 2023, compared to 44.3% in the corresponding period of 2022. This gross margin decline reflects lower utilization during the first six months of 2023 – particularly in the first quarter of 2023.</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Gross margins from our IT Staffing Services segment were 21.9% in the six months ended June 30, 2023, compared to 23.1% during the corresponding period of 2022. This 120-basis point decline was due to lower permanent placement revenues of $0.6 million (a 70-basis point impact on GM%) and higher medical claims related to our self-insured healthcare program in the 2023 period.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Selling, General and Administrative (“SG&amp;A”) Expenses:</w:t>
      </w:r>
    </w:p>
    <w:p>
      <w:pPr>
        <w:spacing w:after="0" w:line="117"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Below is a tabular presentation of operating expenses by sales, operations, amortization of acquired intangible assets, the employment-related claim, net of recoveries, and general and administrative categories for the six months ended June 30, 2023, and 2022, respectively:</w:t>
      </w:r>
    </w:p>
    <w:p>
      <w:pPr>
        <w:spacing w:after="0" w:line="13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520" w:type="dxa"/>
            <w:vAlign w:val="bottom"/>
            <w:gridSpan w:val="4"/>
          </w:tcPr>
          <w:p>
            <w:pPr>
              <w:spacing w:after="0"/>
              <w:rPr>
                <w:sz w:val="20"/>
                <w:szCs w:val="20"/>
                <w:color w:val="auto"/>
              </w:rPr>
            </w:pPr>
            <w:r>
              <w:rPr>
                <w:rFonts w:ascii="Arial" w:cs="Arial" w:eastAsia="Arial" w:hAnsi="Arial"/>
                <w:sz w:val="14"/>
                <w:szCs w:val="14"/>
                <w:b w:val="1"/>
                <w:bCs w:val="1"/>
                <w:color w:val="auto"/>
              </w:rPr>
              <w:t>Six Months Ended</w:t>
            </w:r>
          </w:p>
        </w:tc>
        <w:tc>
          <w:tcPr>
            <w:tcW w:w="1560" w:type="dxa"/>
            <w:vAlign w:val="bottom"/>
            <w:gridSpan w:val="4"/>
          </w:tcPr>
          <w:p>
            <w:pPr>
              <w:jc w:val="center"/>
              <w:ind w:left="256"/>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5280" w:type="dxa"/>
            <w:vAlign w:val="bottom"/>
            <w:gridSpan w:val="4"/>
          </w:tcPr>
          <w:p>
            <w:pPr>
              <w:spacing w:after="0"/>
              <w:rPr>
                <w:sz w:val="20"/>
                <w:szCs w:val="20"/>
                <w:color w:val="auto"/>
              </w:rPr>
            </w:pPr>
            <w:r>
              <w:rPr>
                <w:rFonts w:ascii="Arial" w:cs="Arial" w:eastAsia="Arial" w:hAnsi="Arial"/>
                <w:sz w:val="14"/>
                <w:szCs w:val="14"/>
                <w:b w:val="1"/>
                <w:bCs w:val="1"/>
                <w:color w:val="auto"/>
              </w:rPr>
              <w:t>SG&amp;A Expenses (Amounts in millions)</w:t>
            </w:r>
          </w:p>
        </w:tc>
        <w:tc>
          <w:tcPr>
            <w:tcW w:w="120" w:type="dxa"/>
            <w:vAlign w:val="bottom"/>
          </w:tcPr>
          <w:p>
            <w:pPr>
              <w:spacing w:after="0"/>
              <w:rPr>
                <w:sz w:val="14"/>
                <w:szCs w:val="14"/>
                <w:color w:val="auto"/>
              </w:rPr>
            </w:pP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2023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June 30, 2022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6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Data and Analytics Services Segment</w:t>
            </w: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Sales and Marketing</w:t>
            </w:r>
          </w:p>
        </w:tc>
        <w:tc>
          <w:tcPr>
            <w:tcW w:w="2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3.4</w:t>
            </w:r>
          </w:p>
        </w:tc>
        <w:tc>
          <w:tcPr>
            <w:tcW w:w="3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3.7</w:t>
            </w: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General &amp; Administrative</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Subtotal Data and Analytics Services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IT Staffing Services Segment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2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220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&amp; Administrative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gridSpan w:val="3"/>
          </w:tcPr>
          <w:p>
            <w:pPr>
              <w:ind w:left="340"/>
              <w:spacing w:after="0"/>
              <w:rPr>
                <w:sz w:val="20"/>
                <w:szCs w:val="20"/>
                <w:color w:val="auto"/>
              </w:rPr>
            </w:pPr>
            <w:r>
              <w:rPr>
                <w:rFonts w:ascii="Arial" w:cs="Arial" w:eastAsia="Arial" w:hAnsi="Arial"/>
                <w:sz w:val="18"/>
                <w:szCs w:val="18"/>
                <w:b w:val="1"/>
                <w:bCs w:val="1"/>
                <w:color w:val="auto"/>
              </w:rPr>
              <w:t>Subtotal IT Staffing Services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Acquired Intangible Assets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Employment-related Claim, net of Recoveries</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Total SG&amp;A Expenses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SG&amp;A expenses for the six months ended June 30, 2023, totaled $29.4 million or 27.4% of total revenues, compared to $25.8 million or 21.2% of total revenues for the six months ended June 30, 2022. Excluding the employment-related claim, net of recoveries in 2023 and the amortization of acquired intangible assets in both periods, SG&amp;A expense as a percentage of total revenues would have been 23.1% and 19.8%, respectively.</w:t>
      </w:r>
    </w:p>
    <w:p>
      <w:pPr>
        <w:spacing w:after="0" w:line="149"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Fluctuations within SG&amp;A expense components during the first six months of 2023, compared to the first six months of 2022, included the following:</w:t>
      </w:r>
    </w:p>
    <w:p>
      <w:pPr>
        <w:spacing w:after="0" w:line="76" w:lineRule="exact"/>
        <w:rPr>
          <w:sz w:val="20"/>
          <w:szCs w:val="20"/>
          <w:color w:val="auto"/>
        </w:rPr>
      </w:pPr>
    </w:p>
    <w:p>
      <w:pPr>
        <w:ind w:left="1100" w:hanging="433"/>
        <w:spacing w:after="0" w:line="311" w:lineRule="auto"/>
        <w:tabs>
          <w:tab w:leader="none" w:pos="11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Sales expense decreased by $0.8 million in the 2023 period compared to the corresponding 2022 period. A decrease of $0.3 million related to our Data and Analytics Services segment, which largely reflected lower variable compensation. Sales expenses in our IT Staffing Services segment decreased by $0.5 million due to lower variable compensation (commissions / bonuses) and other variable expenses.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702" w:right="4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jc w:val="both"/>
        <w:ind w:left="1100" w:right="140" w:hanging="433"/>
        <w:spacing w:after="0" w:line="311" w:lineRule="auto"/>
        <w:tabs>
          <w:tab w:leader="none" w:pos="11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Operations expense decreased by $1.6 million in the 2023 period compared to the corresponding 2022 period. In our Data and Analytics Services segment operations expenses decreased $0.5 million due to lower staff and lower commission expenses. Operations expenses in our IT Staffing Services segment decreased by $1.1 million largely related to staff reductions and lower variable expenses.</w:t>
      </w:r>
    </w:p>
    <w:p>
      <w:pPr>
        <w:spacing w:after="0" w:line="54" w:lineRule="exact"/>
        <w:rPr>
          <w:rFonts w:ascii="Arial" w:cs="Arial" w:eastAsia="Arial" w:hAnsi="Arial"/>
          <w:sz w:val="16"/>
          <w:szCs w:val="16"/>
          <w:color w:val="auto"/>
        </w:rPr>
      </w:pPr>
    </w:p>
    <w:p>
      <w:pPr>
        <w:ind w:left="1100" w:right="40" w:hanging="433"/>
        <w:spacing w:after="0" w:line="287" w:lineRule="auto"/>
        <w:tabs>
          <w:tab w:leader="none" w:pos="11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General and administrative expense increased by $3.0 million in the 2023 period compared to the corresponding 2022 period. General and administrative expense in our Data and Analytics Services segment increased by $2.2 million due to executive leadership staff increases and higher professional services fees related to an employment claim matter. The increase in our IT Staffing Services segment of</w:t>
      </w:r>
    </w:p>
    <w:p>
      <w:pPr>
        <w:spacing w:after="0" w:line="2"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6"/>
          <w:szCs w:val="16"/>
          <w:color w:val="auto"/>
        </w:rPr>
        <w:t>$0.8 million was due to higher corporate-related expenses, an increase in travel expenses and increases in cyber-security related costs.</w:t>
      </w:r>
    </w:p>
    <w:p>
      <w:pPr>
        <w:spacing w:after="0" w:line="139" w:lineRule="exact"/>
        <w:rPr>
          <w:rFonts w:ascii="Arial" w:cs="Arial" w:eastAsia="Arial" w:hAnsi="Arial"/>
          <w:sz w:val="16"/>
          <w:szCs w:val="16"/>
          <w:color w:val="auto"/>
        </w:rPr>
      </w:pPr>
    </w:p>
    <w:p>
      <w:pPr>
        <w:ind w:left="1100" w:right="320" w:hanging="433"/>
        <w:spacing w:after="0" w:line="277"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Amortization of acquired intangible assets was $0.1 million lower in the 2023 period compared to the corresponding 2022 period, as a portion of our intangible assets became fully amortized in 2023.</w:t>
      </w:r>
    </w:p>
    <w:p>
      <w:pPr>
        <w:spacing w:after="0" w:line="75" w:lineRule="exact"/>
        <w:rPr>
          <w:rFonts w:ascii="Arial" w:cs="Arial" w:eastAsia="Arial" w:hAnsi="Arial"/>
          <w:sz w:val="18"/>
          <w:szCs w:val="18"/>
          <w:color w:val="auto"/>
        </w:rPr>
      </w:pPr>
    </w:p>
    <w:p>
      <w:pPr>
        <w:ind w:left="1100" w:right="1000" w:hanging="433"/>
        <w:spacing w:after="0" w:line="277"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Employment-related claim, net of expected recoveries, totaled $3.1 million in the 2023 period compared to no expense in the corresponding 2022 period.</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 / (Expense) Components: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Other Income / (Expense) for the six months ended June 30, 2023, consisted of net interest income of $84,000 and foreign exchange losses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($87,000). For the six months ended June 30, 2022, Other Income / (Expense) consisted of interest expense of ($241,000) and foreign exchange gains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$249,000. The lower level of interest expense was reflective of not having any bank debt outstanding after making a final term loan payment in January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2023.</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Income tax expense (benefit) for the six months ended June 30, 2023 totaled ($387,000) representing an effective tax rate on pre-tax loss of (16.8%) compared to $2.1 million for the six months ended June 30, 2022, which represented a 30.5% effective tax rate on pre-tax income. The lower effective tax rate on 2023’s pre-tax loss reflected our tax valuation allowance and excess tax expense from stock options/restricted shares.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Financial Conditions and Liquidity:</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As of June 30, 2023, we had no bank debt, cash balances on hand of $18.6 million and approximately $23.9 million of borrowing capacity under our existing credit facility.</w:t>
      </w:r>
    </w:p>
    <w:p>
      <w:pPr>
        <w:spacing w:after="0" w:line="170"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Historically, we have funded our organic business needs with cash generated from operating activities. Controlling our operating working capital levels by closely managing our accounts receivable balance is an important element of cash generation. As of June 30, 2023, our accounts receivable “days sales outstanding” (“DSOs”) measurement was 56-days, which was eleven days lower than at June 30, 2022.</w:t>
      </w:r>
    </w:p>
    <w:p>
      <w:pPr>
        <w:spacing w:after="0" w:line="16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believe that cash provided by operating activities, cash balances on hand and current availability under our credit facility will be adequate to fund our business needs and support the share repurchase program we announced in February 2023 over the next twelve months, absent any acquisition-related activities.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provided by (used in) operating activities: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Cash provided by operating activities for the six months ended June 30, 2023, totaled $13.1 million compared to cash provided by operating activities of $1.9 million during the six months ended June 30, 2022. Elements of cash flow during the 2023 period were a net (loss) of ($1.9) million, non-cash charges of $6.4 million and a decrease in operating working capital levels of $8.6 million. Elements of cash flow during the corresponding 2022 period were net income of $4.8 million, non-cash charges of $3.8 million and an increase in operating working capital levels of ($6.7 million). The operating working capital decreases in 2023 reflected our revenue decline and a lower DSO measurement compared to supporting revenue growth in 2022.</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702" w:right="4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11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Cash (used in) investing activities for the six months ended June 30, 2023, was ($42,000) compared to ($693,000) for the six months ended June 30, 2022. In 2023, investing activities included capital expenditures of ($112,000) and the recovery of office lease deposits of $70,000. In 2022, investing activities included capital expenditures of ($797,000) and the recovery of office lease deposits of $104,000. Capital expenditures in the 2022 period were higher than in 2023 and related to capital expenditures made to our Chennai delivery center in India and Oracle Cloud implementation expenses.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provided by (used in) financing activities:</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Cash (used in) financing activities for the six months ended June 30, 2023, totaled ($1.5 million) and consisted of Term Loan debt repayments of ($1.1 million) and the purchase of treasury shares under our share repurchase program of ($572,000), partially offset by $150,000 related to proceeds from the issuance of shares of Common Stock shares under the Employee Stock Purchase Plan. Cash (used in) financing activities for the six months ended June 30, 2022, totaled ($0.7 million) and consisted of Term Loan repayments of ($2.2 million), partially offset by $1.5 million related to proceeds from the issuance of shares of Common Stock under the Employee Stock Purchase Plan and the exercise of stock options.</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have any off-balance sheet arrangements.</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Inflation:</w:t>
      </w:r>
    </w:p>
    <w:p>
      <w:pPr>
        <w:spacing w:after="0" w:line="117" w:lineRule="exact"/>
        <w:rPr>
          <w:sz w:val="20"/>
          <w:szCs w:val="20"/>
          <w:color w:val="auto"/>
        </w:rPr>
      </w:pPr>
    </w:p>
    <w:p>
      <w:pPr>
        <w:ind w:left="120" w:right="340" w:firstLine="440"/>
        <w:spacing w:after="0" w:line="296"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although economic uncertainty, including the concerns of our clients and other companies with respect to inflationary conditions in North America and elsewhere, has had and may continue to have an adverse impact on the demand for our services. On an ongoing basis, we attempt to minimize any effects of inflation on our operating results by controlling operating costs and, whenever possible, seek to ensure that billing rates reflect increases in costs due to inflation. However, high levels of inflation may result in higher interest rates which could increase our cost of borrowings.</w:t>
      </w:r>
    </w:p>
    <w:p>
      <w:pPr>
        <w:spacing w:after="0" w:line="161"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In addition, refer to “Item 1A. Risk factors” in our 2022 Annual Report on Form 10-K for a discussion about risks that inflation directly or indirectly may pose to our business.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Our operations are generally not affected by seasonal fluctuations. However, our consultants’ billable hours are affected by national holidays and vacation policies. Accordingly, we generally have lower utilization rates and higher benefit costs during the fourth quarter. Additionally, assignment completions tend to be higher near the end of the calendar year, which largely impacts our revenue and gross profit performance during the subsequent quarter.</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Recent accounting pronouncements are described in Note 13 to the accompanying financial statements.</w:t>
      </w:r>
    </w:p>
    <w:p>
      <w:pPr>
        <w:spacing w:after="0" w:line="370"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In addition to the inherent operational risks, the Company is exposed to certain market risks, primarily related to changes in interest rates and currency fluctuations.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Rates</w:t>
      </w:r>
    </w:p>
    <w:p>
      <w:pPr>
        <w:spacing w:after="0" w:line="11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As of June 30, 2023, we had no outstanding borrowings under the Credit Agreements — Refer to Note 8 — “Credit Facility” in the Notes to Condensed Consolidated Financial Statements, included herein.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reporting currency of the Company and its subsidiaries is the U.S. dollar. The functional currency of the Company’s subsidiary in Canada is the U.S. dollar because the majority of its revenue is denominated in U.S. dollars. The functional currencies of the Company’s Indian and European subsidiaries are the local currency of the location of such subsidiary. The results of operations of the Company’s Indian and European subsidiaries are translated at the monthly average exchange rates prevailing during the period. The financial position of the Company’s Indian and European subsidiaries is translated at the current exchange rates at the end of the period, and the related translation adjustments are recorded as a component of accumulated other comprehensive income (loss) within Shareholders’ Equity. Gains and losses resulting from foreign currency transactions are included as a component of other income (expense), net in the Condensed Consolidated Statements of Operations, and have not been material for all periods presented. A hypothetical 10% increase or decrease in overall foreign currency rates in the first six months of 2023 would not have had a material impact on our consolidated financial statements.</w:t>
      </w:r>
    </w:p>
    <w:p>
      <w:pPr>
        <w:sectPr>
          <w:pgSz w:w="11900" w:h="16838" w:orient="portrait"/>
          <w:cols w:equalWidth="0" w:num="1">
            <w:col w:w="11120"/>
          </w:cols>
          <w:pgMar w:left="320" w:top="702" w:right="459" w:bottom="1440" w:gutter="0" w:footer="0" w:header="0"/>
        </w:sectPr>
      </w:pP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120"/>
          </w:cols>
          <w:pgMar w:left="320" w:top="702" w:right="45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spacing w:after="0" w:line="15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As of the end of the period covered by this report, the Company carried out an evaluation, under the supervision and with the participation of Company management, including the Chief Executive Officer and the Chief Financial Officer, of the effectiveness of the design and operation of the Company’s disclosure controls and procedures pursuant to Exchange Act Rules 13a-15(b). Based upon that evaluation, the Chief Executive Officer and the Chief Financial Officer concluded that the Company’s disclosure controls and procedures were effective.</w:t>
      </w:r>
    </w:p>
    <w:p>
      <w:pPr>
        <w:spacing w:after="0" w:line="171"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during the quarter ended June 30, 2023 that materially affected, or are reasonably likely to materially affect, our internal control over financial reporting.</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the ordinary course of our business, we are involved in a number of lawsuits and administrative proceedings. While uncertainties are inherent in the final outcome of these matters, management believes, after consultation with legal counsel, that the disposition of these proceedings should not have a material adverse effect on our financial position, results of operations or cash flows.</w:t>
      </w:r>
    </w:p>
    <w:p>
      <w:pPr>
        <w:spacing w:after="0" w:line="328"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There have been no material changes from the risk factors as previously disclosed in our Annual Report on Form 10-K for the year ended December 31, 2022, filed with the SEC on March 27, 2023.</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702"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our Common Stock repurchased during the quarter ended June 30, 2023 is set forth in the following table:</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 Number</w:t>
            </w:r>
          </w:p>
        </w:tc>
        <w:tc>
          <w:tcPr>
            <w:tcW w:w="300" w:type="dxa"/>
            <w:vAlign w:val="bottom"/>
          </w:tcPr>
          <w:p>
            <w:pPr>
              <w:spacing w:after="0"/>
              <w:rPr>
                <w:sz w:val="14"/>
                <w:szCs w:val="1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 Shares</w:t>
            </w:r>
          </w:p>
        </w:tc>
        <w:tc>
          <w:tcPr>
            <w:tcW w:w="300" w:type="dxa"/>
            <w:vAlign w:val="bottom"/>
          </w:tcPr>
          <w:p>
            <w:pPr>
              <w:spacing w:after="0"/>
              <w:rPr>
                <w:sz w:val="12"/>
                <w:szCs w:val="12"/>
                <w:color w:val="auto"/>
              </w:rPr>
            </w:pP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340" w:type="dxa"/>
            <w:vAlign w:val="bottom"/>
            <w:gridSpan w:val="3"/>
          </w:tcPr>
          <w:p>
            <w:pPr>
              <w:jc w:val="center"/>
              <w:ind w:left="195"/>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300" w:type="dxa"/>
            <w:vAlign w:val="bottom"/>
          </w:tcPr>
          <w:p>
            <w:pPr>
              <w:spacing w:after="0"/>
              <w:rPr>
                <w:sz w:val="12"/>
                <w:szCs w:val="12"/>
                <w:color w:val="auto"/>
              </w:rPr>
            </w:pP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Yet Be</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Announced</w:t>
            </w:r>
          </w:p>
        </w:tc>
        <w:tc>
          <w:tcPr>
            <w:tcW w:w="300" w:type="dxa"/>
            <w:vAlign w:val="bottom"/>
          </w:tcPr>
          <w:p>
            <w:pPr>
              <w:spacing w:after="0"/>
              <w:rPr>
                <w:sz w:val="12"/>
                <w:szCs w:val="12"/>
                <w:color w:val="auto"/>
              </w:rPr>
            </w:pP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148"/>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Shares</w:t>
            </w:r>
          </w:p>
        </w:tc>
        <w:tc>
          <w:tcPr>
            <w:tcW w:w="11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6"/>
              </w:rPr>
              <w:t>Price per</w:t>
            </w:r>
          </w:p>
        </w:tc>
        <w:tc>
          <w:tcPr>
            <w:tcW w:w="3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Plans or</w:t>
            </w:r>
          </w:p>
        </w:tc>
        <w:tc>
          <w:tcPr>
            <w:tcW w:w="300" w:type="dxa"/>
            <w:vAlign w:val="bottom"/>
          </w:tcPr>
          <w:p>
            <w:pPr>
              <w:spacing w:after="0"/>
              <w:rPr>
                <w:sz w:val="12"/>
                <w:szCs w:val="12"/>
                <w:color w:val="auto"/>
              </w:rPr>
            </w:pP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Under this Plan</w:t>
            </w:r>
          </w:p>
        </w:tc>
        <w:tc>
          <w:tcPr>
            <w:tcW w:w="0" w:type="dxa"/>
            <w:vAlign w:val="bottom"/>
          </w:tcPr>
          <w:p>
            <w:pPr>
              <w:spacing w:after="0"/>
              <w:rPr>
                <w:sz w:val="1"/>
                <w:szCs w:val="1"/>
                <w:color w:val="auto"/>
              </w:rPr>
            </w:pPr>
          </w:p>
        </w:tc>
      </w:tr>
      <w:tr>
        <w:trPr>
          <w:trHeight w:val="171"/>
        </w:trPr>
        <w:tc>
          <w:tcPr>
            <w:tcW w:w="4860" w:type="dxa"/>
            <w:vAlign w:val="bottom"/>
            <w:gridSpan w:val="2"/>
            <w:vMerge w:val="continue"/>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Purchased (1)</w:t>
            </w:r>
          </w:p>
        </w:tc>
        <w:tc>
          <w:tcPr>
            <w:tcW w:w="11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Share (1)</w:t>
            </w:r>
          </w:p>
        </w:tc>
        <w:tc>
          <w:tcPr>
            <w:tcW w:w="3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Programs (1)</w:t>
            </w:r>
          </w:p>
        </w:tc>
        <w:tc>
          <w:tcPr>
            <w:tcW w:w="300" w:type="dxa"/>
            <w:vAlign w:val="bottom"/>
          </w:tcPr>
          <w:p>
            <w:pPr>
              <w:spacing w:after="0"/>
              <w:rPr>
                <w:sz w:val="14"/>
                <w:szCs w:val="14"/>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or Programs (1)</w:t>
            </w: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April</w:t>
            </w: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 2023 — April 30, 2023</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May 1, 2023 — May 31, 2032</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62,361</w:t>
            </w:r>
          </w:p>
        </w:tc>
        <w:tc>
          <w:tcPr>
            <w:tcW w:w="4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80"/>
              <w:spacing w:after="0"/>
              <w:rPr>
                <w:sz w:val="20"/>
                <w:szCs w:val="20"/>
                <w:color w:val="auto"/>
              </w:rPr>
            </w:pPr>
            <w:r>
              <w:rPr>
                <w:rFonts w:ascii="Arial" w:cs="Arial" w:eastAsia="Arial" w:hAnsi="Arial"/>
                <w:sz w:val="18"/>
                <w:szCs w:val="18"/>
                <w:color w:val="auto"/>
              </w:rPr>
              <w:t>9.15</w:t>
            </w:r>
          </w:p>
        </w:tc>
        <w:tc>
          <w:tcPr>
            <w:tcW w:w="1580" w:type="dxa"/>
            <w:vAlign w:val="bottom"/>
            <w:gridSpan w:val="3"/>
          </w:tcPr>
          <w:p>
            <w:pPr>
              <w:ind w:left="780"/>
              <w:spacing w:after="0"/>
              <w:rPr>
                <w:sz w:val="20"/>
                <w:szCs w:val="20"/>
                <w:color w:val="auto"/>
              </w:rPr>
            </w:pPr>
            <w:r>
              <w:rPr>
                <w:rFonts w:ascii="Arial" w:cs="Arial" w:eastAsia="Arial" w:hAnsi="Arial"/>
                <w:sz w:val="18"/>
                <w:szCs w:val="18"/>
                <w:color w:val="auto"/>
              </w:rPr>
              <w:t>62,361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437,639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2023 — June 30, 2023</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62,361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437,639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62,361</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79"/>
              </w:rPr>
              <w:t>9.15</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83"/>
              </w:rPr>
              <w:t>62,361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437,639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7" w:lineRule="exact"/>
        <w:rPr>
          <w:sz w:val="20"/>
          <w:szCs w:val="20"/>
          <w:color w:val="auto"/>
        </w:rPr>
      </w:pPr>
    </w:p>
    <w:p>
      <w:pPr>
        <w:ind w:left="560" w:right="200" w:hanging="444"/>
        <w:spacing w:after="0" w:line="296" w:lineRule="auto"/>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February 8, 2023, the Company announced that the Board of Directors authorized a share repurchase program of up to 500,000 shares of Common Stock over a two-year period. Repurchases under the program may occur from time to time in the open market, through privately negotiated transactions, through block purchases or other purchase techniques, or by any combination of such methods, and the program may be modified, suspended or terminated at any time at the discretion of the Board of Directors. The Company did not repurchase any shares of its Common Stock during the quarter ended June 30, 2023, other than through this publicly announced share repurchase program.</w:t>
      </w:r>
    </w:p>
    <w:p>
      <w:pPr>
        <w:spacing w:after="0" w:line="306"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On August 4, 2023, the Company and certain of its wholly owned subsidiaries (collectively, the “Company Entities”) entered into a Confidential Agreement and General Release (the “Settlement Agreement”) with the former employee whose attorney submitted the December 2022 demand letter described in Note 5 “Commitments and Contingencies” of the Condensed Consolidated Financial Statements included in this quarterly report on Form 10-Q. The Settlement Agreement is scheduled to become effective no later than August 12, 2023 and contains mutual general releases of all claims between the Company Entities and this former employee (including a release of all claims asserted in the December 2022 demand letter). Based on the terms of the Settlement Agreement, the Company expects to pay the settlement amount during the third quarter of 2023. The exact terms of the Settlement Agreement are to remain confidential; however, the settlement amount, net of expected recoveries, was fully reserved in the second quarter of 2023 and is included in Selling, General and Administrative expenses in the Condensed Consolidated Statement of Operations included in this quarterly report on Form 10-Q.</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702" w:right="4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040" w:type="dxa"/>
            <w:vAlign w:val="bottom"/>
            <w:gridSpan w:val="13"/>
          </w:tcPr>
          <w:p>
            <w:pPr>
              <w:ind w:left="220"/>
              <w:spacing w:after="0"/>
              <w:rPr>
                <w:sz w:val="20"/>
                <w:szCs w:val="20"/>
                <w:color w:val="auto"/>
              </w:rPr>
            </w:pPr>
            <w:r>
              <w:rPr>
                <w:rFonts w:ascii="Arial" w:cs="Arial" w:eastAsia="Arial" w:hAnsi="Arial"/>
                <w:sz w:val="18"/>
                <w:szCs w:val="18"/>
                <w:b w:val="1"/>
                <w:bCs w:val="1"/>
                <w:color w:val="auto"/>
              </w:rPr>
              <w:t>EXHIBITS</w:t>
            </w:r>
          </w:p>
        </w:tc>
      </w:tr>
      <w:tr>
        <w:trPr>
          <w:trHeight w:val="324"/>
        </w:trPr>
        <w:tc>
          <w:tcPr>
            <w:tcW w:w="10920" w:type="dxa"/>
            <w:vAlign w:val="bottom"/>
            <w:gridSpan w:val="14"/>
          </w:tcPr>
          <w:p>
            <w:pPr>
              <w:ind w:left="440"/>
              <w:spacing w:after="0"/>
              <w:rPr>
                <w:sz w:val="20"/>
                <w:szCs w:val="20"/>
                <w:color w:val="auto"/>
              </w:rPr>
            </w:pPr>
            <w:r>
              <w:rPr>
                <w:rFonts w:ascii="Arial" w:cs="Arial" w:eastAsia="Arial" w:hAnsi="Arial"/>
                <w:sz w:val="18"/>
                <w:szCs w:val="18"/>
                <w:color w:val="auto"/>
              </w:rPr>
              <w:t>(a) Exhibits</w:t>
            </w:r>
          </w:p>
        </w:tc>
      </w:tr>
      <w:tr>
        <w:trPr>
          <w:trHeight w:val="418"/>
        </w:trPr>
        <w:tc>
          <w:tcPr>
            <w:tcW w:w="880" w:type="dxa"/>
            <w:vAlign w:val="bottom"/>
          </w:tcPr>
          <w:p>
            <w:pPr>
              <w:jc w:val="right"/>
              <w:ind w:right="39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9780" w:type="dxa"/>
            <w:vAlign w:val="bottom"/>
            <w:tcBorders>
              <w:bottom w:val="single" w:sz="8" w:color="0000EE"/>
            </w:tcBorders>
            <w:gridSpan w:val="11"/>
          </w:tcPr>
          <w:p>
            <w:pPr>
              <w:spacing w:after="0"/>
              <w:rPr>
                <w:rFonts w:ascii="Arial" w:cs="Arial" w:eastAsia="Arial" w:hAnsi="Arial"/>
                <w:sz w:val="18"/>
                <w:szCs w:val="18"/>
                <w:color w:val="0000EE"/>
                <w:w w:val="89"/>
              </w:rPr>
            </w:pPr>
            <w:hyperlink r:id="rId45">
              <w:r>
                <w:rPr>
                  <w:rFonts w:ascii="Arial" w:cs="Arial" w:eastAsia="Arial" w:hAnsi="Arial"/>
                  <w:sz w:val="18"/>
                  <w:szCs w:val="18"/>
                  <w:color w:val="0000EE"/>
                  <w:w w:val="89"/>
                </w:rPr>
                <w:t>Schedule A-7, dated March 15, 2023, to Fourth Amended and Restated Executive Employment Agreement, dated as of March 20, 2019,</w:t>
              </w:r>
            </w:hyperlink>
          </w:p>
        </w:tc>
        <w:tc>
          <w:tcPr>
            <w:tcW w:w="4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45">
              <w:r>
                <w:rPr>
                  <w:rFonts w:ascii="Arial" w:cs="Arial" w:eastAsia="Arial" w:hAnsi="Arial"/>
                  <w:sz w:val="18"/>
                  <w:szCs w:val="18"/>
                  <w:color w:val="0000EE"/>
                  <w:w w:val="91"/>
                </w:rPr>
                <w:t>between Mastech Digital Technologies, Inc., Mastech Digital, Inc. and Vivek Gupta, incorporated by reference to Exhibit 10.1 to</w:t>
              </w:r>
            </w:hyperlink>
          </w:p>
        </w:tc>
        <w:tc>
          <w:tcPr>
            <w:tcW w:w="540" w:type="dxa"/>
            <w:vAlign w:val="bottom"/>
            <w:gridSpan w:val="4"/>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5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45">
              <w:r>
                <w:rPr>
                  <w:rFonts w:ascii="Arial" w:cs="Arial" w:eastAsia="Arial" w:hAnsi="Arial"/>
                  <w:sz w:val="18"/>
                  <w:szCs w:val="18"/>
                  <w:color w:val="0000EE"/>
                  <w:w w:val="92"/>
                </w:rPr>
                <w:t>Mastech Digital, Inc.’s Current Report on Form 8-K filed with the SEC on March 17, 2023</w:t>
              </w:r>
            </w:hyperlink>
          </w:p>
        </w:tc>
        <w:tc>
          <w:tcPr>
            <w:tcW w:w="3260" w:type="dxa"/>
            <w:vAlign w:val="bottom"/>
            <w:gridSpan w:val="8"/>
          </w:tcPr>
          <w:p>
            <w:pPr>
              <w:spacing w:after="0"/>
              <w:rPr>
                <w:sz w:val="17"/>
                <w:szCs w:val="17"/>
                <w:color w:val="auto"/>
              </w:rPr>
            </w:pPr>
          </w:p>
        </w:tc>
      </w:tr>
      <w:tr>
        <w:trPr>
          <w:trHeight w:val="304"/>
        </w:trPr>
        <w:tc>
          <w:tcPr>
            <w:tcW w:w="880" w:type="dxa"/>
            <w:vAlign w:val="bottom"/>
          </w:tcPr>
          <w:p>
            <w:pPr>
              <w:jc w:val="right"/>
              <w:ind w:right="39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9820" w:type="dxa"/>
            <w:vAlign w:val="bottom"/>
            <w:gridSpan w:val="12"/>
          </w:tcPr>
          <w:p>
            <w:pPr>
              <w:spacing w:after="0"/>
              <w:rPr>
                <w:rFonts w:ascii="Arial" w:cs="Arial" w:eastAsia="Arial" w:hAnsi="Arial"/>
                <w:sz w:val="18"/>
                <w:szCs w:val="18"/>
                <w:color w:val="0000EE"/>
                <w:w w:val="90"/>
              </w:rPr>
            </w:pPr>
            <w:hyperlink r:id="rId46">
              <w:r>
                <w:rPr>
                  <w:rFonts w:ascii="Arial" w:cs="Arial" w:eastAsia="Arial" w:hAnsi="Arial"/>
                  <w:sz w:val="18"/>
                  <w:szCs w:val="18"/>
                  <w:color w:val="0000EE"/>
                  <w:w w:val="90"/>
                </w:rPr>
                <w:t>Schedule A-12, dated March 15, 2023, to Third Amended and Restated Executive Employment Agreement, dated as of March 20, 2019,</w:t>
              </w:r>
            </w:hyperlink>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80" w:type="dxa"/>
            <w:vAlign w:val="bottom"/>
            <w:tcBorders>
              <w:top w:val="single" w:sz="8" w:color="0000EE"/>
            </w:tcBorders>
            <w:gridSpan w:val="11"/>
          </w:tcPr>
          <w:p>
            <w:pPr>
              <w:spacing w:after="0" w:line="196" w:lineRule="exact"/>
              <w:rPr>
                <w:rFonts w:ascii="Arial" w:cs="Arial" w:eastAsia="Arial" w:hAnsi="Arial"/>
                <w:sz w:val="18"/>
                <w:szCs w:val="18"/>
                <w:color w:val="0000EE"/>
                <w:w w:val="92"/>
              </w:rPr>
            </w:pPr>
            <w:hyperlink r:id="rId46">
              <w:r>
                <w:rPr>
                  <w:rFonts w:ascii="Arial" w:cs="Arial" w:eastAsia="Arial" w:hAnsi="Arial"/>
                  <w:sz w:val="18"/>
                  <w:szCs w:val="18"/>
                  <w:color w:val="0000EE"/>
                  <w:w w:val="92"/>
                </w:rPr>
                <w:t>between Mastech Digital Technologies, Inc., Mastech Digital, Inc. and John J. Cronin, Jr., incorporated by reference to Exhibit 10.2 to</w:t>
              </w:r>
            </w:hyperlink>
          </w:p>
        </w:tc>
        <w:tc>
          <w:tcPr>
            <w:tcW w:w="4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Mastech Digital, Inc.’s Current Report on Form 8-K filed with the SEC on March 17, 2023</w:t>
              </w:r>
            </w:hyperlink>
          </w:p>
        </w:tc>
        <w:tc>
          <w:tcPr>
            <w:tcW w:w="160" w:type="dxa"/>
            <w:vAlign w:val="bottom"/>
            <w:gridSpan w:val="2"/>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780" w:type="dxa"/>
            <w:vAlign w:val="bottom"/>
            <w:tcBorders>
              <w:right w:val="single" w:sz="8" w:color="0000EE"/>
            </w:tcBorders>
            <w:shd w:val="clear" w:color="auto" w:fill="0000EE"/>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04"/>
        </w:trPr>
        <w:tc>
          <w:tcPr>
            <w:tcW w:w="880" w:type="dxa"/>
            <w:vAlign w:val="bottom"/>
          </w:tcPr>
          <w:p>
            <w:pPr>
              <w:jc w:val="right"/>
              <w:ind w:right="39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9820" w:type="dxa"/>
            <w:vAlign w:val="bottom"/>
            <w:gridSpan w:val="12"/>
          </w:tcPr>
          <w:p>
            <w:pPr>
              <w:spacing w:after="0"/>
              <w:rPr>
                <w:rFonts w:ascii="Arial" w:cs="Arial" w:eastAsia="Arial" w:hAnsi="Arial"/>
                <w:sz w:val="18"/>
                <w:szCs w:val="18"/>
                <w:color w:val="0000EE"/>
                <w:w w:val="96"/>
              </w:rPr>
            </w:pPr>
            <w:hyperlink r:id="rId47">
              <w:r>
                <w:rPr>
                  <w:rFonts w:ascii="Arial" w:cs="Arial" w:eastAsia="Arial" w:hAnsi="Arial"/>
                  <w:sz w:val="18"/>
                  <w:szCs w:val="18"/>
                  <w:color w:val="0000EE"/>
                  <w:w w:val="96"/>
                </w:rPr>
                <w:t>Fifth Amendment to Mastech Digital, Inc. Stock Incentive Plan (as amended and restated), dated May 10, 2023 (incorporated by</w:t>
              </w:r>
            </w:hyperlink>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780" w:type="dxa"/>
            <w:vAlign w:val="bottom"/>
            <w:tcBorders>
              <w:right w:val="single" w:sz="8" w:color="0000EE"/>
            </w:tcBorders>
            <w:shd w:val="clear" w:color="auto" w:fill="0000EE"/>
          </w:tcPr>
          <w:p>
            <w:pPr>
              <w:spacing w:after="0" w:line="20" w:lineRule="exact"/>
              <w:rPr>
                <w:sz w:val="1"/>
                <w:szCs w:val="1"/>
                <w:color w:val="auto"/>
              </w:rPr>
            </w:pPr>
          </w:p>
        </w:tc>
        <w:tc>
          <w:tcPr>
            <w:tcW w:w="58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47">
              <w:r>
                <w:rPr>
                  <w:rFonts w:ascii="Arial" w:cs="Arial" w:eastAsia="Arial" w:hAnsi="Arial"/>
                  <w:sz w:val="18"/>
                  <w:szCs w:val="18"/>
                  <w:color w:val="0000EE"/>
                  <w:w w:val="91"/>
                </w:rPr>
                <w:t>reference to Exhibit 10.1 to Mastech Digital, Inc.’s Current Report on Form 8-K, filed with the Securities and Exchange Commission on</w:t>
              </w:r>
            </w:hyperlink>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20" w:type="dxa"/>
            <w:vAlign w:val="bottom"/>
            <w:gridSpan w:val="12"/>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May 11, 2023).</w:t>
              </w:r>
            </w:hyperlink>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04"/>
        </w:trPr>
        <w:tc>
          <w:tcPr>
            <w:tcW w:w="880" w:type="dxa"/>
            <w:vAlign w:val="bottom"/>
          </w:tcPr>
          <w:p>
            <w:pPr>
              <w:jc w:val="right"/>
              <w:ind w:right="39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9820" w:type="dxa"/>
            <w:vAlign w:val="bottom"/>
            <w:gridSpan w:val="12"/>
          </w:tcPr>
          <w:p>
            <w:pPr>
              <w:spacing w:after="0"/>
              <w:rPr>
                <w:sz w:val="20"/>
                <w:szCs w:val="20"/>
                <w:color w:val="auto"/>
              </w:rPr>
            </w:pPr>
            <w:r>
              <w:rPr>
                <w:rFonts w:ascii="Arial" w:cs="Arial" w:eastAsia="Arial" w:hAnsi="Arial"/>
                <w:sz w:val="18"/>
                <w:szCs w:val="18"/>
                <w:color w:val="0000EE"/>
              </w:rPr>
              <w:t>Certification pursuant to Section 302 of the Sarbanes-Oxley Act of 2002 by the Chief Executive Officer is filed herewith.</w:t>
            </w:r>
          </w:p>
        </w:tc>
      </w:tr>
      <w:tr>
        <w:trPr>
          <w:trHeight w:val="304"/>
        </w:trPr>
        <w:tc>
          <w:tcPr>
            <w:tcW w:w="880" w:type="dxa"/>
            <w:vAlign w:val="bottom"/>
          </w:tcPr>
          <w:p>
            <w:pPr>
              <w:jc w:val="right"/>
              <w:ind w:right="39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868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2"/>
              </w:rPr>
              <w:t>Certification pursuant to Section 302 of the Sarbanes-Oxley Act of 2002 by the Chief Financial Officer is filed herewith.</w:t>
            </w:r>
          </w:p>
        </w:tc>
        <w:tc>
          <w:tcPr>
            <w:tcW w:w="40" w:type="dxa"/>
            <w:vAlign w:val="bottom"/>
            <w:tcBorders>
              <w:top w:val="single" w:sz="8" w:color="0000EE"/>
            </w:tcBorders>
          </w:tcPr>
          <w:p>
            <w:pPr>
              <w:spacing w:after="0"/>
              <w:rPr>
                <w:sz w:val="24"/>
                <w:szCs w:val="24"/>
                <w:color w:val="auto"/>
              </w:rPr>
            </w:pPr>
          </w:p>
        </w:tc>
        <w:tc>
          <w:tcPr>
            <w:tcW w:w="1100" w:type="dxa"/>
            <w:vAlign w:val="bottom"/>
            <w:gridSpan w:val="6"/>
          </w:tcPr>
          <w:p>
            <w:pPr>
              <w:spacing w:after="0"/>
              <w:rPr>
                <w:sz w:val="24"/>
                <w:szCs w:val="24"/>
                <w:color w:val="auto"/>
              </w:rPr>
            </w:pPr>
          </w:p>
        </w:tc>
      </w:tr>
      <w:tr>
        <w:trPr>
          <w:trHeight w:val="304"/>
        </w:trPr>
        <w:tc>
          <w:tcPr>
            <w:tcW w:w="880" w:type="dxa"/>
            <w:vAlign w:val="bottom"/>
          </w:tcPr>
          <w:p>
            <w:pPr>
              <w:jc w:val="right"/>
              <w:ind w:right="39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96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0"/>
              </w:rPr>
              <w:t>Certification pursuant to 18 U.S.C. Section 1350, as adopted pursuant to Section 906 of the Sarbanes-Oxley Act of 2002, by the Chief</w:t>
            </w:r>
          </w:p>
        </w:tc>
        <w:tc>
          <w:tcPr>
            <w:tcW w:w="180" w:type="dxa"/>
            <w:vAlign w:val="bottom"/>
            <w:gridSpan w:val="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20" w:type="dxa"/>
            <w:vAlign w:val="bottom"/>
            <w:gridSpan w:val="12"/>
          </w:tcPr>
          <w:p>
            <w:pPr>
              <w:spacing w:after="0" w:line="196" w:lineRule="exact"/>
              <w:rPr>
                <w:sz w:val="20"/>
                <w:szCs w:val="20"/>
                <w:color w:val="auto"/>
              </w:rPr>
            </w:pPr>
            <w:r>
              <w:rPr>
                <w:rFonts w:ascii="Arial" w:cs="Arial" w:eastAsia="Arial" w:hAnsi="Arial"/>
                <w:sz w:val="18"/>
                <w:szCs w:val="18"/>
                <w:color w:val="0000EE"/>
              </w:rPr>
              <w:t>Executive Officer is furnished herewith.</w:t>
            </w: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Borders>
              <w:right w:val="single" w:sz="8" w:color="0000EE"/>
            </w:tcBorders>
            <w:gridSpan w:val="2"/>
            <w:shd w:val="clear" w:color="auto" w:fill="0000EE"/>
          </w:tcPr>
          <w:p>
            <w:pPr>
              <w:spacing w:after="0" w:line="20" w:lineRule="exact"/>
              <w:rPr>
                <w:sz w:val="1"/>
                <w:szCs w:val="1"/>
                <w:color w:val="auto"/>
              </w:rPr>
            </w:pPr>
          </w:p>
        </w:tc>
        <w:tc>
          <w:tcPr>
            <w:tcW w:w="6940" w:type="dxa"/>
            <w:vAlign w:val="bottom"/>
            <w:gridSpan w:val="10"/>
          </w:tcPr>
          <w:p>
            <w:pPr>
              <w:spacing w:after="0" w:line="20" w:lineRule="exact"/>
              <w:rPr>
                <w:sz w:val="1"/>
                <w:szCs w:val="1"/>
                <w:color w:val="auto"/>
              </w:rPr>
            </w:pPr>
          </w:p>
        </w:tc>
      </w:tr>
      <w:tr>
        <w:trPr>
          <w:trHeight w:val="304"/>
        </w:trPr>
        <w:tc>
          <w:tcPr>
            <w:tcW w:w="880" w:type="dxa"/>
            <w:vAlign w:val="bottom"/>
          </w:tcPr>
          <w:p>
            <w:pPr>
              <w:jc w:val="right"/>
              <w:ind w:right="390"/>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96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0"/>
              </w:rPr>
              <w:t>Certification pursuant to 18 U.S.C. Section 1350, as adopted pursuant to Section 906 of the Sarbanes-Oxley Act of 2002, by the Chief</w:t>
            </w:r>
          </w:p>
        </w:tc>
        <w:tc>
          <w:tcPr>
            <w:tcW w:w="180" w:type="dxa"/>
            <w:vAlign w:val="bottom"/>
            <w:gridSpan w:val="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3"/>
              </w:rPr>
              <w:t>Financial Officer is furnished herewith.</w:t>
            </w:r>
          </w:p>
        </w:tc>
        <w:tc>
          <w:tcPr>
            <w:tcW w:w="6940" w:type="dxa"/>
            <w:vAlign w:val="bottom"/>
            <w:gridSpan w:val="10"/>
          </w:tcPr>
          <w:p>
            <w:pPr>
              <w:spacing w:after="0"/>
              <w:rPr>
                <w:sz w:val="17"/>
                <w:szCs w:val="17"/>
                <w:color w:val="auto"/>
              </w:rPr>
            </w:pPr>
          </w:p>
        </w:tc>
      </w:tr>
      <w:tr>
        <w:trPr>
          <w:trHeight w:val="345"/>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982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24"/>
                <w:szCs w:val="24"/>
                <w:color w:val="auto"/>
              </w:rPr>
            </w:pPr>
          </w:p>
        </w:tc>
        <w:tc>
          <w:tcPr>
            <w:tcW w:w="982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24"/>
                <w:szCs w:val="24"/>
                <w:color w:val="auto"/>
              </w:rPr>
            </w:pPr>
          </w:p>
        </w:tc>
        <w:tc>
          <w:tcPr>
            <w:tcW w:w="982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24"/>
                <w:szCs w:val="24"/>
                <w:color w:val="auto"/>
              </w:rPr>
            </w:pPr>
          </w:p>
        </w:tc>
        <w:tc>
          <w:tcPr>
            <w:tcW w:w="982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24"/>
                <w:szCs w:val="24"/>
                <w:color w:val="auto"/>
              </w:rPr>
            </w:pPr>
          </w:p>
        </w:tc>
        <w:tc>
          <w:tcPr>
            <w:tcW w:w="982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4"/>
                <w:szCs w:val="24"/>
                <w:color w:val="auto"/>
              </w:rPr>
            </w:pPr>
          </w:p>
        </w:tc>
        <w:tc>
          <w:tcPr>
            <w:tcW w:w="982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94" w:lineRule="exact"/>
        <w:rPr>
          <w:sz w:val="20"/>
          <w:szCs w:val="20"/>
          <w:color w:val="auto"/>
        </w:rPr>
      </w:pPr>
    </w:p>
    <w:p>
      <w:pPr>
        <w:ind w:left="5540" w:right="3260" w:hanging="5424"/>
        <w:spacing w:after="0" w:line="449" w:lineRule="auto"/>
        <w:tabs>
          <w:tab w:leader="none" w:pos="12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28</w:t>
      </w:r>
    </w:p>
    <w:p>
      <w:pPr>
        <w:sectPr>
          <w:pgSz w:w="11900" w:h="16838" w:orient="portrait"/>
          <w:cols w:equalWidth="0" w:num="1">
            <w:col w:w="11040"/>
          </w:cols>
          <w:pgMar w:left="320" w:top="702" w:right="5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this 10th day of August, 2023.</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MASTECH DIGITAL, INC.</w:t>
            </w:r>
          </w:p>
        </w:tc>
      </w:tr>
      <w:tr>
        <w:trPr>
          <w:trHeight w:val="432"/>
        </w:trPr>
        <w:tc>
          <w:tcPr>
            <w:tcW w:w="7420" w:type="dxa"/>
            <w:vAlign w:val="bottom"/>
            <w:gridSpan w:val="2"/>
          </w:tcPr>
          <w:p>
            <w:pPr>
              <w:spacing w:after="0"/>
              <w:rPr>
                <w:sz w:val="20"/>
                <w:szCs w:val="20"/>
                <w:color w:val="auto"/>
              </w:rPr>
            </w:pPr>
            <w:r>
              <w:rPr>
                <w:rFonts w:ascii="Arial" w:cs="Arial" w:eastAsia="Arial" w:hAnsi="Arial"/>
                <w:sz w:val="18"/>
                <w:szCs w:val="18"/>
                <w:color w:val="auto"/>
              </w:rPr>
              <w:t>August 10, 2023</w:t>
            </w:r>
          </w:p>
        </w:tc>
        <w:tc>
          <w:tcPr>
            <w:tcW w:w="3600" w:type="dxa"/>
            <w:vAlign w:val="bottom"/>
          </w:tcPr>
          <w:p>
            <w:pPr>
              <w:ind w:left="40"/>
              <w:spacing w:after="0"/>
              <w:rPr>
                <w:sz w:val="20"/>
                <w:szCs w:val="20"/>
                <w:color w:val="auto"/>
              </w:rPr>
            </w:pPr>
            <w:r>
              <w:rPr>
                <w:rFonts w:ascii="Arial" w:cs="Arial" w:eastAsia="Arial" w:hAnsi="Arial"/>
                <w:sz w:val="18"/>
                <w:szCs w:val="18"/>
                <w:color w:val="auto"/>
              </w:rPr>
              <w:t>/s/   VIVEK GUPTA</w:t>
            </w:r>
          </w:p>
        </w:tc>
      </w:tr>
      <w:tr>
        <w:trPr>
          <w:trHeight w:val="218"/>
        </w:trPr>
        <w:tc>
          <w:tcPr>
            <w:tcW w:w="58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600" w:type="dxa"/>
            <w:vAlign w:val="bottom"/>
            <w:tcBorders>
              <w:top w:val="single" w:sz="8" w:color="auto"/>
            </w:tcBorders>
          </w:tcPr>
          <w:p>
            <w:pPr>
              <w:jc w:val="center"/>
              <w:ind w:right="1490"/>
              <w:spacing w:after="0"/>
              <w:rPr>
                <w:sz w:val="20"/>
                <w:szCs w:val="20"/>
                <w:color w:val="auto"/>
              </w:rPr>
            </w:pPr>
            <w:r>
              <w:rPr>
                <w:rFonts w:ascii="Arial" w:cs="Arial" w:eastAsia="Arial" w:hAnsi="Arial"/>
                <w:sz w:val="18"/>
                <w:szCs w:val="18"/>
                <w:b w:val="1"/>
                <w:bCs w:val="1"/>
                <w:color w:val="auto"/>
                <w:w w:val="94"/>
              </w:rPr>
              <w:t>Vivek Gupta</w:t>
            </w:r>
          </w:p>
        </w:tc>
      </w:tr>
      <w:tr>
        <w:trPr>
          <w:trHeight w:val="234"/>
        </w:trPr>
        <w:tc>
          <w:tcPr>
            <w:tcW w:w="58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600" w:type="dxa"/>
            <w:vAlign w:val="bottom"/>
          </w:tcPr>
          <w:p>
            <w:pPr>
              <w:jc w:val="center"/>
              <w:ind w:right="1510"/>
              <w:spacing w:after="0"/>
              <w:rPr>
                <w:sz w:val="20"/>
                <w:szCs w:val="20"/>
                <w:color w:val="auto"/>
              </w:rPr>
            </w:pPr>
            <w:r>
              <w:rPr>
                <w:rFonts w:ascii="Arial" w:cs="Arial" w:eastAsia="Arial" w:hAnsi="Arial"/>
                <w:sz w:val="18"/>
                <w:szCs w:val="18"/>
                <w:b w:val="1"/>
                <w:bCs w:val="1"/>
                <w:color w:val="auto"/>
                <w:w w:val="91"/>
              </w:rPr>
              <w:t>Chief Executive Officer</w:t>
            </w:r>
          </w:p>
        </w:tc>
      </w:tr>
      <w:tr>
        <w:trPr>
          <w:trHeight w:val="445"/>
        </w:trPr>
        <w:tc>
          <w:tcPr>
            <w:tcW w:w="5820" w:type="dxa"/>
            <w:vAlign w:val="bottom"/>
          </w:tcPr>
          <w:p>
            <w:pPr>
              <w:spacing w:after="0"/>
              <w:rPr>
                <w:sz w:val="24"/>
                <w:szCs w:val="24"/>
                <w:color w:val="auto"/>
              </w:rPr>
            </w:pPr>
          </w:p>
        </w:tc>
        <w:tc>
          <w:tcPr>
            <w:tcW w:w="1600" w:type="dxa"/>
            <w:vAlign w:val="bottom"/>
          </w:tcPr>
          <w:p>
            <w:pPr>
              <w:ind w:left="1380"/>
              <w:spacing w:after="0"/>
              <w:rPr>
                <w:sz w:val="20"/>
                <w:szCs w:val="20"/>
                <w:color w:val="auto"/>
              </w:rPr>
            </w:pPr>
            <w:r>
              <w:rPr>
                <w:rFonts w:ascii="Arial" w:cs="Arial" w:eastAsia="Arial" w:hAnsi="Arial"/>
                <w:sz w:val="18"/>
                <w:szCs w:val="18"/>
                <w:color w:val="auto"/>
              </w:rPr>
              <w:t>/s/</w:t>
            </w:r>
          </w:p>
        </w:tc>
        <w:tc>
          <w:tcPr>
            <w:tcW w:w="3600" w:type="dxa"/>
            <w:vAlign w:val="bottom"/>
          </w:tcPr>
          <w:p>
            <w:pPr>
              <w:jc w:val="center"/>
              <w:ind w:right="1470"/>
              <w:spacing w:after="0"/>
              <w:rPr>
                <w:sz w:val="20"/>
                <w:szCs w:val="20"/>
                <w:color w:val="auto"/>
              </w:rPr>
            </w:pPr>
            <w:r>
              <w:rPr>
                <w:rFonts w:ascii="Arial" w:cs="Arial" w:eastAsia="Arial" w:hAnsi="Arial"/>
                <w:sz w:val="18"/>
                <w:szCs w:val="18"/>
                <w:color w:val="auto"/>
                <w:w w:val="92"/>
              </w:rPr>
              <w:t>JOHN J. CRONIN, JR.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0</wp:posOffset>
            </wp:positionV>
            <wp:extent cx="32918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jc w:val="center"/>
        <w:ind w:left="5820"/>
        <w:spacing w:after="0"/>
        <w:rPr>
          <w:sz w:val="20"/>
          <w:szCs w:val="20"/>
          <w:color w:val="auto"/>
        </w:rPr>
      </w:pPr>
      <w:r>
        <w:rPr>
          <w:rFonts w:ascii="Arial" w:cs="Arial" w:eastAsia="Arial" w:hAnsi="Arial"/>
          <w:sz w:val="18"/>
          <w:szCs w:val="18"/>
          <w:b w:val="1"/>
          <w:bCs w:val="1"/>
          <w:color w:val="auto"/>
        </w:rPr>
        <w:t>John J. Cronin, Jr.</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Officer)</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702" w:right="4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724"/>
        <w:spacing w:after="0"/>
        <w:rPr>
          <w:sz w:val="20"/>
          <w:szCs w:val="20"/>
          <w:color w:val="auto"/>
        </w:rPr>
      </w:pPr>
      <w:r>
        <w:rPr>
          <w:rFonts w:ascii="Arial" w:cs="Arial" w:eastAsia="Arial" w:hAnsi="Arial"/>
          <w:sz w:val="18"/>
          <w:szCs w:val="18"/>
          <w:b w:val="1"/>
          <w:bCs w:val="1"/>
          <w:color w:val="auto"/>
        </w:rPr>
        <w:t>Certification Pursuant to Section 302 of the Sarbanes-Oxley Act of 2002 by Chief Executive Officer</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Vivek Gupta, certify that:</w:t>
      </w:r>
    </w:p>
    <w:p>
      <w:pPr>
        <w:spacing w:after="0" w:line="131" w:lineRule="exact"/>
        <w:rPr>
          <w:sz w:val="20"/>
          <w:szCs w:val="20"/>
          <w:color w:val="auto"/>
        </w:rPr>
      </w:pPr>
    </w:p>
    <w:p>
      <w:pPr>
        <w:ind w:left="444" w:hanging="444"/>
        <w:spacing w:after="0"/>
        <w:tabs>
          <w:tab w:leader="none" w:pos="4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Mastech Digital, Inc.;</w:t>
      </w:r>
    </w:p>
    <w:p>
      <w:pPr>
        <w:spacing w:after="0" w:line="130" w:lineRule="exact"/>
        <w:rPr>
          <w:rFonts w:ascii="Arial" w:cs="Arial" w:eastAsia="Arial" w:hAnsi="Arial"/>
          <w:sz w:val="18"/>
          <w:szCs w:val="18"/>
          <w:color w:val="auto"/>
        </w:rPr>
      </w:pPr>
    </w:p>
    <w:p>
      <w:pPr>
        <w:jc w:val="both"/>
        <w:ind w:left="444" w:right="120" w:hanging="444"/>
        <w:spacing w:after="0" w:line="263" w:lineRule="auto"/>
        <w:tabs>
          <w:tab w:leader="none" w:pos="4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44" w:right="80" w:hanging="444"/>
        <w:spacing w:after="0" w:line="308" w:lineRule="auto"/>
        <w:tabs>
          <w:tab w:leader="none" w:pos="444"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4" w:right="300" w:hanging="444"/>
        <w:spacing w:after="0" w:line="263" w:lineRule="auto"/>
        <w:tabs>
          <w:tab w:leader="none" w:pos="4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984" w:hanging="544"/>
        <w:spacing w:after="0" w:line="263" w:lineRule="auto"/>
        <w:tabs>
          <w:tab w:leader="none" w:pos="98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84" w:right="140" w:hanging="544"/>
        <w:spacing w:after="0" w:line="263" w:lineRule="auto"/>
        <w:tabs>
          <w:tab w:leader="none" w:pos="98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84" w:right="300" w:hanging="544"/>
        <w:spacing w:after="0" w:line="342" w:lineRule="auto"/>
        <w:tabs>
          <w:tab w:leader="none" w:pos="984"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84" w:right="40" w:hanging="544"/>
        <w:spacing w:after="0" w:line="263" w:lineRule="auto"/>
        <w:tabs>
          <w:tab w:leader="none" w:pos="98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case of the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44" w:right="260" w:hanging="444"/>
        <w:spacing w:after="0" w:line="342" w:lineRule="auto"/>
        <w:tabs>
          <w:tab w:leader="none" w:pos="444"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84" w:right="540" w:hanging="544"/>
        <w:spacing w:after="0" w:line="342" w:lineRule="auto"/>
        <w:tabs>
          <w:tab w:leader="none" w:pos="984"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84" w:right="240" w:hanging="544"/>
        <w:spacing w:after="0" w:line="277" w:lineRule="auto"/>
        <w:tabs>
          <w:tab w:leader="none" w:pos="98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MASTECH DIGITAL, INC.</w:t>
      </w:r>
    </w:p>
    <w:p>
      <w:pPr>
        <w:spacing w:after="0" w:line="225" w:lineRule="exact"/>
        <w:rPr>
          <w:sz w:val="20"/>
          <w:szCs w:val="20"/>
          <w:color w:val="auto"/>
        </w:rPr>
      </w:pPr>
    </w:p>
    <w:p>
      <w:pPr>
        <w:ind w:left="4"/>
        <w:spacing w:after="0"/>
        <w:tabs>
          <w:tab w:leader="none" w:pos="6044" w:val="left"/>
        </w:tabs>
        <w:rPr>
          <w:sz w:val="20"/>
          <w:szCs w:val="20"/>
          <w:color w:val="auto"/>
        </w:rPr>
      </w:pPr>
      <w:r>
        <w:rPr>
          <w:rFonts w:ascii="Arial" w:cs="Arial" w:eastAsia="Arial" w:hAnsi="Arial"/>
          <w:sz w:val="18"/>
          <w:szCs w:val="18"/>
          <w:color w:val="auto"/>
        </w:rPr>
        <w:t>Date: August 10, 2023</w:t>
      </w:r>
      <w:r>
        <w:rPr>
          <w:sz w:val="20"/>
          <w:szCs w:val="20"/>
          <w:color w:val="auto"/>
        </w:rPr>
        <w:tab/>
      </w:r>
      <w:r>
        <w:rPr>
          <w:rFonts w:ascii="Arial" w:cs="Arial" w:eastAsia="Arial" w:hAnsi="Arial"/>
          <w:sz w:val="17"/>
          <w:szCs w:val="17"/>
          <w:color w:val="auto"/>
        </w:rPr>
        <w:t>/S/ VIVEK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14605</wp:posOffset>
            </wp:positionV>
            <wp:extent cx="31457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2" w:lineRule="exact"/>
        <w:rPr>
          <w:sz w:val="20"/>
          <w:szCs w:val="20"/>
          <w:color w:val="auto"/>
        </w:rPr>
      </w:pPr>
    </w:p>
    <w:p>
      <w:pPr>
        <w:ind w:left="6064"/>
        <w:spacing w:after="0"/>
        <w:rPr>
          <w:sz w:val="20"/>
          <w:szCs w:val="20"/>
          <w:color w:val="auto"/>
        </w:rPr>
      </w:pPr>
      <w:r>
        <w:rPr>
          <w:rFonts w:ascii="Arial" w:cs="Arial" w:eastAsia="Arial" w:hAnsi="Arial"/>
          <w:sz w:val="18"/>
          <w:szCs w:val="18"/>
          <w:b w:val="1"/>
          <w:bCs w:val="1"/>
          <w:color w:val="auto"/>
        </w:rPr>
        <w:t>Vivek Gupta</w:t>
      </w:r>
    </w:p>
    <w:p>
      <w:pPr>
        <w:spacing w:after="0" w:line="27" w:lineRule="exact"/>
        <w:rPr>
          <w:sz w:val="20"/>
          <w:szCs w:val="20"/>
          <w:color w:val="auto"/>
        </w:rPr>
      </w:pPr>
    </w:p>
    <w:p>
      <w:pPr>
        <w:ind w:left="6064"/>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024"/>
          </w:cols>
          <w:pgMar w:left="436" w:top="121" w:right="4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724"/>
        <w:spacing w:after="0"/>
        <w:rPr>
          <w:sz w:val="20"/>
          <w:szCs w:val="20"/>
          <w:color w:val="auto"/>
        </w:rPr>
      </w:pPr>
      <w:r>
        <w:rPr>
          <w:rFonts w:ascii="Arial" w:cs="Arial" w:eastAsia="Arial" w:hAnsi="Arial"/>
          <w:sz w:val="18"/>
          <w:szCs w:val="18"/>
          <w:b w:val="1"/>
          <w:bCs w:val="1"/>
          <w:color w:val="auto"/>
        </w:rPr>
        <w:t>Certification Pursuant to Section 302 of the Sarbanes-Oxley Act of 2002 by Chief Financial Officer</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John J. Cronin, Jr., certify that:</w:t>
      </w:r>
    </w:p>
    <w:p>
      <w:pPr>
        <w:spacing w:after="0" w:line="131" w:lineRule="exact"/>
        <w:rPr>
          <w:sz w:val="20"/>
          <w:szCs w:val="20"/>
          <w:color w:val="auto"/>
        </w:rPr>
      </w:pPr>
    </w:p>
    <w:p>
      <w:pPr>
        <w:ind w:left="444" w:hanging="444"/>
        <w:spacing w:after="0"/>
        <w:tabs>
          <w:tab w:leader="none" w:pos="4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report on Form 10-Q of Mastech Digital, Inc.;</w:t>
      </w:r>
    </w:p>
    <w:p>
      <w:pPr>
        <w:spacing w:after="0" w:line="130" w:lineRule="exact"/>
        <w:rPr>
          <w:rFonts w:ascii="Arial" w:cs="Arial" w:eastAsia="Arial" w:hAnsi="Arial"/>
          <w:sz w:val="18"/>
          <w:szCs w:val="18"/>
          <w:color w:val="auto"/>
        </w:rPr>
      </w:pPr>
    </w:p>
    <w:p>
      <w:pPr>
        <w:jc w:val="both"/>
        <w:ind w:left="444" w:right="120" w:hanging="444"/>
        <w:spacing w:after="0" w:line="263" w:lineRule="auto"/>
        <w:tabs>
          <w:tab w:leader="none" w:pos="4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44" w:right="80" w:hanging="444"/>
        <w:spacing w:after="0" w:line="308" w:lineRule="auto"/>
        <w:tabs>
          <w:tab w:leader="none" w:pos="444"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4" w:right="300" w:hanging="444"/>
        <w:spacing w:after="0" w:line="263" w:lineRule="auto"/>
        <w:tabs>
          <w:tab w:leader="none" w:pos="4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984" w:hanging="544"/>
        <w:spacing w:after="0" w:line="263" w:lineRule="auto"/>
        <w:tabs>
          <w:tab w:leader="none" w:pos="98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84" w:right="140" w:hanging="544"/>
        <w:spacing w:after="0" w:line="263" w:lineRule="auto"/>
        <w:tabs>
          <w:tab w:leader="none" w:pos="98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84" w:right="300" w:hanging="544"/>
        <w:spacing w:after="0" w:line="342" w:lineRule="auto"/>
        <w:tabs>
          <w:tab w:leader="none" w:pos="984"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84" w:right="40" w:hanging="544"/>
        <w:spacing w:after="0" w:line="263" w:lineRule="auto"/>
        <w:tabs>
          <w:tab w:leader="none" w:pos="98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case of the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44" w:right="260" w:hanging="444"/>
        <w:spacing w:after="0" w:line="342" w:lineRule="auto"/>
        <w:tabs>
          <w:tab w:leader="none" w:pos="444"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84" w:right="540" w:hanging="544"/>
        <w:spacing w:after="0" w:line="342" w:lineRule="auto"/>
        <w:tabs>
          <w:tab w:leader="none" w:pos="984"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84" w:right="240" w:hanging="544"/>
        <w:spacing w:after="0" w:line="277" w:lineRule="auto"/>
        <w:tabs>
          <w:tab w:leader="none" w:pos="98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MASTECH DIGITAL, INC.</w:t>
      </w:r>
    </w:p>
    <w:p>
      <w:pPr>
        <w:spacing w:after="0" w:line="225" w:lineRule="exact"/>
        <w:rPr>
          <w:sz w:val="20"/>
          <w:szCs w:val="20"/>
          <w:color w:val="auto"/>
        </w:rPr>
      </w:pPr>
    </w:p>
    <w:p>
      <w:pPr>
        <w:ind w:left="4"/>
        <w:spacing w:after="0"/>
        <w:tabs>
          <w:tab w:leader="none" w:pos="6044" w:val="left"/>
        </w:tabs>
        <w:rPr>
          <w:sz w:val="20"/>
          <w:szCs w:val="20"/>
          <w:color w:val="auto"/>
        </w:rPr>
      </w:pPr>
      <w:r>
        <w:rPr>
          <w:rFonts w:ascii="Arial" w:cs="Arial" w:eastAsia="Arial" w:hAnsi="Arial"/>
          <w:sz w:val="18"/>
          <w:szCs w:val="18"/>
          <w:color w:val="auto"/>
        </w:rPr>
        <w:t>Date: August 10, 2023</w:t>
      </w:r>
      <w:r>
        <w:rPr>
          <w:sz w:val="20"/>
          <w:szCs w:val="20"/>
          <w:color w:val="auto"/>
        </w:rPr>
        <w:tab/>
      </w:r>
      <w:r>
        <w:rPr>
          <w:rFonts w:ascii="Arial" w:cs="Arial" w:eastAsia="Arial" w:hAnsi="Arial"/>
          <w:sz w:val="16"/>
          <w:szCs w:val="16"/>
          <w:color w:val="auto"/>
        </w:rPr>
        <w:t>/S/ JOHN J. CRONIN,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14605</wp:posOffset>
            </wp:positionV>
            <wp:extent cx="31457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2" w:lineRule="exact"/>
        <w:rPr>
          <w:sz w:val="20"/>
          <w:szCs w:val="20"/>
          <w:color w:val="auto"/>
        </w:rPr>
      </w:pPr>
    </w:p>
    <w:p>
      <w:pPr>
        <w:ind w:left="6064"/>
        <w:spacing w:after="0"/>
        <w:rPr>
          <w:sz w:val="20"/>
          <w:szCs w:val="20"/>
          <w:color w:val="auto"/>
        </w:rPr>
      </w:pPr>
      <w:r>
        <w:rPr>
          <w:rFonts w:ascii="Arial" w:cs="Arial" w:eastAsia="Arial" w:hAnsi="Arial"/>
          <w:sz w:val="18"/>
          <w:szCs w:val="18"/>
          <w:b w:val="1"/>
          <w:bCs w:val="1"/>
          <w:color w:val="auto"/>
        </w:rPr>
        <w:t>John J. Cronin, Jr.</w:t>
      </w:r>
    </w:p>
    <w:p>
      <w:pPr>
        <w:spacing w:after="0" w:line="27" w:lineRule="exact"/>
        <w:rPr>
          <w:sz w:val="20"/>
          <w:szCs w:val="20"/>
          <w:color w:val="auto"/>
        </w:rPr>
      </w:pPr>
    </w:p>
    <w:p>
      <w:pPr>
        <w:ind w:left="6064"/>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024"/>
          </w:cols>
          <w:pgMar w:left="436" w:top="121" w:right="4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 w:right="360" w:firstLine="440"/>
        <w:spacing w:after="0" w:line="286" w:lineRule="auto"/>
        <w:rPr>
          <w:sz w:val="20"/>
          <w:szCs w:val="20"/>
          <w:color w:val="auto"/>
        </w:rPr>
      </w:pPr>
      <w:r>
        <w:rPr>
          <w:rFonts w:ascii="Arial" w:cs="Arial" w:eastAsia="Arial" w:hAnsi="Arial"/>
          <w:sz w:val="17"/>
          <w:szCs w:val="17"/>
          <w:color w:val="auto"/>
        </w:rPr>
        <w:t>In connection with the Quarterly Report of Mastech Digital, Inc. (the “Company”) on Form 10-Q for the quarter ended June 30, 2023, as filed with the Securities and Exchange Commission on the date hereof (the “Report”), I, Vivek Gupta, Chief Executive Officer of the Company, certify, pursuant to 18 U.S.C. § 1350, as adopted pursuant to § 906 of the Sarbanes-Oxley Act of 2002, that, to my knowledge:</w:t>
      </w:r>
    </w:p>
    <w:p>
      <w:pPr>
        <w:spacing w:after="0" w:line="71" w:lineRule="exact"/>
        <w:rPr>
          <w:sz w:val="20"/>
          <w:szCs w:val="20"/>
          <w:color w:val="auto"/>
        </w:rPr>
      </w:pPr>
    </w:p>
    <w:p>
      <w:pPr>
        <w:ind w:left="444" w:hanging="444"/>
        <w:spacing w:after="0"/>
        <w:tabs>
          <w:tab w:leader="none" w:pos="4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444" w:hanging="444"/>
        <w:spacing w:after="0"/>
        <w:tabs>
          <w:tab w:leader="none" w:pos="444"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VIVEK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Vivek Gupta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August 10, 2023</w:t>
      </w:r>
    </w:p>
    <w:p>
      <w:pPr>
        <w:sectPr>
          <w:pgSz w:w="11900" w:h="16838" w:orient="portrait"/>
          <w:cols w:equalWidth="0" w:num="1">
            <w:col w:w="11024"/>
          </w:cols>
          <w:pgMar w:left="436" w:top="121" w:right="4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 w:right="200" w:firstLine="440"/>
        <w:spacing w:after="0" w:line="286" w:lineRule="auto"/>
        <w:rPr>
          <w:sz w:val="20"/>
          <w:szCs w:val="20"/>
          <w:color w:val="auto"/>
        </w:rPr>
      </w:pPr>
      <w:r>
        <w:rPr>
          <w:rFonts w:ascii="Arial" w:cs="Arial" w:eastAsia="Arial" w:hAnsi="Arial"/>
          <w:sz w:val="17"/>
          <w:szCs w:val="17"/>
          <w:color w:val="auto"/>
        </w:rPr>
        <w:t>In connection with the Quarterly Report of Mastech Digital, Inc. (the “Company”) on Form 10-Q for the quarter ended June 30, 2023, as filed with the Securities and Exchange Commission on the date hereof (the “Report”), I, John J. Cronin, Jr. Chief Financial Officer of the Company, certify, pursuant to 18 U.S.C. § 1350, as adopted pursuant to § 906 of the Sarbanes-Oxley Act of 2002, that, to my knowledge:</w:t>
      </w:r>
    </w:p>
    <w:p>
      <w:pPr>
        <w:spacing w:after="0" w:line="71" w:lineRule="exact"/>
        <w:rPr>
          <w:sz w:val="20"/>
          <w:szCs w:val="20"/>
          <w:color w:val="auto"/>
        </w:rPr>
      </w:pPr>
    </w:p>
    <w:p>
      <w:pPr>
        <w:ind w:left="444" w:hanging="444"/>
        <w:spacing w:after="0"/>
        <w:tabs>
          <w:tab w:leader="none" w:pos="4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444" w:hanging="444"/>
        <w:spacing w:after="0"/>
        <w:tabs>
          <w:tab w:leader="none" w:pos="444"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JOHN J. CRONIN,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John J. Cronin, Jr.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Chief Financial Officer</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August 10, 2023</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decimal"/>
      <w:start w:val="3"/>
    </w:lvl>
  </w:abstractNum>
  <w:abstractNum w:abstractNumId="5">
    <w:nsid w:val="4E6AFB66"/>
    <w:multiLevelType w:val="hybridMultilevel"/>
    <w:lvl w:ilvl="0">
      <w:lvlJc w:val="left"/>
      <w:lvlText w:val="%1."/>
      <w:numFmt w:val="decimal"/>
      <w:start w:val="4"/>
    </w:lvl>
  </w:abstractNum>
  <w:abstractNum w:abstractNumId="6">
    <w:nsid w:val="25E45D32"/>
    <w:multiLevelType w:val="hybridMultilevel"/>
    <w:lvl w:ilvl="0">
      <w:lvlJc w:val="left"/>
      <w:lvlText w:val="%1."/>
      <w:numFmt w:val="decimal"/>
      <w:start w:val="5"/>
    </w:lvl>
  </w:abstractNum>
  <w:abstractNum w:abstractNumId="7">
    <w:nsid w:val="519B500D"/>
    <w:multiLevelType w:val="hybridMultilevel"/>
    <w:lvl w:ilvl="0">
      <w:lvlJc w:val="left"/>
      <w:lvlText w:val="%1."/>
      <w:numFmt w:val="decimal"/>
      <w:start w:val="6"/>
    </w:lvl>
  </w:abstractNum>
  <w:abstractNum w:abstractNumId="8">
    <w:nsid w:val="431BD7B7"/>
    <w:multiLevelType w:val="hybridMultilevel"/>
    <w:lvl w:ilvl="0">
      <w:lvlJc w:val="left"/>
      <w:lvlText w:val="%1."/>
      <w:numFmt w:val="decimal"/>
      <w:start w:val="7"/>
    </w:lvl>
  </w:abstractNum>
  <w:abstractNum w:abstractNumId="9">
    <w:nsid w:val="3F2DBA31"/>
    <w:multiLevelType w:val="hybridMultilevel"/>
    <w:lvl w:ilvl="0">
      <w:lvlJc w:val="left"/>
      <w:lvlText w:val="%1."/>
      <w:numFmt w:val="decimal"/>
      <w:start w:val="8"/>
    </w:lvl>
  </w:abstractNum>
  <w:abstractNum w:abstractNumId="10">
    <w:nsid w:val="7C83E458"/>
    <w:multiLevelType w:val="hybridMultilevel"/>
    <w:lvl w:ilvl="0">
      <w:lvlJc w:val="left"/>
      <w:lvlText w:val="%1."/>
      <w:numFmt w:val="decimal"/>
      <w:start w:val="9"/>
    </w:lvl>
  </w:abstractNum>
  <w:abstractNum w:abstractNumId="11">
    <w:nsid w:val="257130A3"/>
    <w:multiLevelType w:val="hybridMultilevel"/>
    <w:lvl w:ilvl="0">
      <w:lvlJc w:val="left"/>
      <w:lvlText w:val="%1."/>
      <w:numFmt w:val="decimal"/>
      <w:start w:val="10"/>
    </w:lvl>
  </w:abstractNum>
  <w:abstractNum w:abstractNumId="12">
    <w:nsid w:val="62BBD95A"/>
    <w:multiLevelType w:val="hybridMultilevel"/>
    <w:lvl w:ilvl="0">
      <w:lvlJc w:val="left"/>
      <w:lvlText w:val="%1."/>
      <w:numFmt w:val="decimal"/>
      <w:start w:val="11"/>
    </w:lvl>
  </w:abstractNum>
  <w:abstractNum w:abstractNumId="13">
    <w:nsid w:val="436C6125"/>
    <w:multiLevelType w:val="hybridMultilevel"/>
    <w:lvl w:ilvl="0">
      <w:lvlJc w:val="left"/>
      <w:lvlText w:val="%1."/>
      <w:numFmt w:val="decimal"/>
      <w:start w:val="12"/>
    </w:lvl>
  </w:abstractNum>
  <w:abstractNum w:abstractNumId="14">
    <w:nsid w:val="628C895D"/>
    <w:multiLevelType w:val="hybridMultilevel"/>
    <w:lvl w:ilvl="0">
      <w:lvlJc w:val="left"/>
      <w:lvlText w:val="%1."/>
      <w:numFmt w:val="decimal"/>
      <w:start w:val="13"/>
    </w:lvl>
  </w:abstractNum>
  <w:abstractNum w:abstractNumId="15">
    <w:nsid w:val="333AB105"/>
    <w:multiLevelType w:val="hybridMultilevel"/>
    <w:lvl w:ilvl="0">
      <w:lvlJc w:val="left"/>
      <w:lvlText w:val="%1."/>
      <w:numFmt w:val="decimal"/>
      <w:start w:val="14"/>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04"/>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45" Type="http://schemas.openxmlformats.org/officeDocument/2006/relationships/hyperlink" Target="http://www.sec.gov/Archives/edgar/data/1437226/000119312523073836/d486655dex101.htm" TargetMode="External"/><Relationship Id="rId46" Type="http://schemas.openxmlformats.org/officeDocument/2006/relationships/hyperlink" Target="http://www.sec.gov/Archives/edgar/data/1437226/000119312523073836/d486655dex102.htm" TargetMode="External"/><Relationship Id="rId47" Type="http://schemas.openxmlformats.org/officeDocument/2006/relationships/hyperlink" Target="http://www.sec.gov/Archives/edgar/data/1437226/000119312523142011/d48618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2023-08-10T11:51:01Z</dcterms:created>
  <dcterms:modified xsi:type="dcterms:W3CDTF">2023-08-10T11:51:01Z</dcterms:modified>
</cp:coreProperties>
</file>