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431165</wp:posOffset>
            </wp:positionV>
            <wp:extent cx="6172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448310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124460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147955</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jc w:val="center"/>
        <w:ind w:left="3020" w:right="140" w:hanging="3016"/>
        <w:spacing w:after="0" w:line="364" w:lineRule="auto"/>
        <w:tabs>
          <w:tab w:leader="none" w:pos="38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38" w:lineRule="exact"/>
        <w:rPr>
          <w:sz w:val="24"/>
          <w:szCs w:val="24"/>
          <w:color w:val="auto"/>
        </w:rPr>
      </w:pPr>
    </w:p>
    <w:p>
      <w:pPr>
        <w:jc w:val="center"/>
        <w:ind w:left="3440" w:right="160" w:hanging="3436"/>
        <w:spacing w:after="0" w:line="427" w:lineRule="auto"/>
        <w:tabs>
          <w:tab w:leader="none" w:pos="39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001-34099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-15875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MASTECH DIGITAL,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99060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49" w:lineRule="exact"/>
        <w:rPr>
          <w:sz w:val="24"/>
          <w:szCs w:val="24"/>
          <w:color w:val="auto"/>
        </w:rPr>
      </w:pPr>
    </w:p>
    <w:tbl>
      <w:tblPr>
        <w:tblLayout w:type="fixed"/>
        <w:tblInd w:w="460" w:type="dxa"/>
        <w:tblCellMar>
          <w:top w:w="0" w:type="dxa"/>
          <w:left w:w="0" w:type="dxa"/>
          <w:bottom w:w="0" w:type="dxa"/>
          <w:right w:w="0" w:type="dxa"/>
        </w:tblCellMar>
      </w:tblPr>
      <w:tr>
        <w:trPr>
          <w:trHeight w:val="214"/>
        </w:trPr>
        <w:tc>
          <w:tcPr>
            <w:tcW w:w="5120" w:type="dxa"/>
            <w:vAlign w:val="bottom"/>
          </w:tcPr>
          <w:p>
            <w:pPr>
              <w:jc w:val="center"/>
              <w:ind w:right="1099"/>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22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26-2753540</w:t>
            </w:r>
          </w:p>
        </w:tc>
      </w:tr>
      <w:tr>
        <w:trPr>
          <w:trHeight w:val="148"/>
        </w:trPr>
        <w:tc>
          <w:tcPr>
            <w:tcW w:w="5120" w:type="dxa"/>
            <w:vAlign w:val="bottom"/>
          </w:tcPr>
          <w:p>
            <w:pPr>
              <w:jc w:val="center"/>
              <w:ind w:right="10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80" w:type="dxa"/>
            <w:vAlign w:val="bottom"/>
          </w:tcPr>
          <w:p>
            <w:pPr>
              <w:jc w:val="center"/>
              <w:ind w:left="10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120" w:type="dxa"/>
            <w:vAlign w:val="bottom"/>
          </w:tcPr>
          <w:p>
            <w:pPr>
              <w:jc w:val="center"/>
              <w:ind w:right="10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80" w:type="dxa"/>
            <w:vAlign w:val="bottom"/>
          </w:tcPr>
          <w:p>
            <w:pPr>
              <w:jc w:val="center"/>
              <w:ind w:left="10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5120" w:type="dxa"/>
            <w:vAlign w:val="bottom"/>
          </w:tcPr>
          <w:p>
            <w:pPr>
              <w:jc w:val="center"/>
              <w:ind w:right="1079"/>
              <w:spacing w:after="0"/>
              <w:rPr>
                <w:sz w:val="20"/>
                <w:szCs w:val="20"/>
                <w:color w:val="auto"/>
              </w:rPr>
            </w:pPr>
            <w:r>
              <w:rPr>
                <w:rFonts w:ascii="Times New Roman" w:cs="Times New Roman" w:eastAsia="Times New Roman" w:hAnsi="Times New Roman"/>
                <w:sz w:val="18"/>
                <w:szCs w:val="18"/>
                <w:b w:val="1"/>
                <w:bCs w:val="1"/>
                <w:color w:val="auto"/>
                <w:w w:val="99"/>
              </w:rPr>
              <w:t>1305 Cherrington Parkway, Building 210, Suite 400</w:t>
            </w:r>
          </w:p>
        </w:tc>
        <w:tc>
          <w:tcPr>
            <w:tcW w:w="2280" w:type="dxa"/>
            <w:vAlign w:val="bottom"/>
          </w:tcPr>
          <w:p>
            <w:pPr>
              <w:spacing w:after="0"/>
              <w:rPr>
                <w:sz w:val="24"/>
                <w:szCs w:val="24"/>
                <w:color w:val="auto"/>
              </w:rPr>
            </w:pPr>
          </w:p>
        </w:tc>
      </w:tr>
      <w:tr>
        <w:trPr>
          <w:trHeight w:val="227"/>
        </w:trPr>
        <w:tc>
          <w:tcPr>
            <w:tcW w:w="5120" w:type="dxa"/>
            <w:vAlign w:val="bottom"/>
          </w:tcPr>
          <w:p>
            <w:pPr>
              <w:jc w:val="center"/>
              <w:ind w:right="1079"/>
              <w:spacing w:after="0"/>
              <w:rPr>
                <w:sz w:val="20"/>
                <w:szCs w:val="20"/>
                <w:color w:val="auto"/>
              </w:rPr>
            </w:pPr>
            <w:r>
              <w:rPr>
                <w:rFonts w:ascii="Times New Roman" w:cs="Times New Roman" w:eastAsia="Times New Roman" w:hAnsi="Times New Roman"/>
                <w:sz w:val="18"/>
                <w:szCs w:val="18"/>
                <w:b w:val="1"/>
                <w:bCs w:val="1"/>
                <w:color w:val="auto"/>
                <w:w w:val="99"/>
              </w:rPr>
              <w:t>Moon Township, Pennsylvania</w:t>
            </w:r>
          </w:p>
        </w:tc>
        <w:tc>
          <w:tcPr>
            <w:tcW w:w="22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15108</w:t>
            </w:r>
          </w:p>
        </w:tc>
      </w:tr>
      <w:tr>
        <w:trPr>
          <w:trHeight w:val="190"/>
        </w:trPr>
        <w:tc>
          <w:tcPr>
            <w:tcW w:w="5120" w:type="dxa"/>
            <w:vAlign w:val="bottom"/>
          </w:tcPr>
          <w:p>
            <w:pPr>
              <w:jc w:val="center"/>
              <w:ind w:right="10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80" w:type="dxa"/>
            <w:vAlign w:val="bottom"/>
          </w:tcPr>
          <w:p>
            <w:pPr>
              <w:jc w:val="center"/>
              <w:ind w:left="10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(412) 787-2100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114300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13"/>
                <w:szCs w:val="13"/>
                <w:color w:val="auto"/>
              </w:rPr>
            </w:pPr>
          </w:p>
        </w:tc>
        <w:tc>
          <w:tcPr>
            <w:tcW w:w="194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80" w:type="dxa"/>
            <w:vAlign w:val="bottom"/>
          </w:tcPr>
          <w:p>
            <w:pPr>
              <w:spacing w:after="0"/>
              <w:rPr>
                <w:sz w:val="13"/>
                <w:szCs w:val="13"/>
                <w:color w:val="auto"/>
              </w:rPr>
            </w:pPr>
          </w:p>
        </w:tc>
        <w:tc>
          <w:tcPr>
            <w:tcW w:w="376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3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80" w:type="dxa"/>
            <w:vAlign w:val="bottom"/>
          </w:tcPr>
          <w:p>
            <w:pPr>
              <w:spacing w:after="0"/>
              <w:rPr>
                <w:sz w:val="15"/>
                <w:szCs w:val="15"/>
                <w:color w:val="auto"/>
              </w:rPr>
            </w:pPr>
          </w:p>
        </w:tc>
        <w:tc>
          <w:tcPr>
            <w:tcW w:w="376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$.01 per share</w:t>
            </w:r>
          </w:p>
        </w:tc>
        <w:tc>
          <w:tcPr>
            <w:tcW w:w="100" w:type="dxa"/>
            <w:vAlign w:val="bottom"/>
          </w:tcPr>
          <w:p>
            <w:pPr>
              <w:spacing w:after="0"/>
              <w:rPr>
                <w:sz w:val="20"/>
                <w:szCs w:val="20"/>
                <w:color w:val="auto"/>
              </w:rPr>
            </w:pPr>
          </w:p>
        </w:tc>
        <w:tc>
          <w:tcPr>
            <w:tcW w:w="19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MHH</w:t>
            </w:r>
          </w:p>
        </w:tc>
        <w:tc>
          <w:tcPr>
            <w:tcW w:w="180" w:type="dxa"/>
            <w:vAlign w:val="bottom"/>
          </w:tcPr>
          <w:p>
            <w:pPr>
              <w:spacing w:after="0"/>
              <w:rPr>
                <w:sz w:val="20"/>
                <w:szCs w:val="20"/>
                <w:color w:val="auto"/>
              </w:rPr>
            </w:pPr>
          </w:p>
        </w:tc>
        <w:tc>
          <w:tcPr>
            <w:tcW w:w="376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NYSE American</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ind w:firstLine="441"/>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100" w:firstLine="441"/>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7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right="20" w:firstLine="441"/>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firstLine="441"/>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the registrant’s Common Stock, par value $.01 per share, outstanding as of April 30, 2026 was 11,998,186.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638810</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146050</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163195</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 ENDED March 31, 2026</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Pag</w:t>
            </w:r>
          </w:p>
        </w:tc>
        <w:tc>
          <w:tcPr>
            <w:tcW w:w="0" w:type="dxa"/>
            <w:vAlign w:val="bottom"/>
          </w:tcPr>
          <w:p>
            <w:pPr>
              <w:spacing w:after="0"/>
              <w:rPr>
                <w:sz w:val="1"/>
                <w:szCs w:val="1"/>
                <w:color w:val="auto"/>
              </w:rPr>
            </w:pPr>
          </w:p>
        </w:tc>
      </w:tr>
      <w:tr>
        <w:trPr>
          <w:trHeight w:val="173"/>
        </w:trPr>
        <w:tc>
          <w:tcPr>
            <w:tcW w:w="14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PART 1</w:t>
            </w:r>
          </w:p>
        </w:tc>
        <w:tc>
          <w:tcPr>
            <w:tcW w:w="854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0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e</w:t>
            </w:r>
          </w:p>
        </w:tc>
        <w:tc>
          <w:tcPr>
            <w:tcW w:w="0" w:type="dxa"/>
            <w:vAlign w:val="bottom"/>
          </w:tcPr>
          <w:p>
            <w:pPr>
              <w:spacing w:after="0"/>
              <w:rPr>
                <w:sz w:val="1"/>
                <w:szCs w:val="1"/>
                <w:color w:val="auto"/>
              </w:rPr>
            </w:pPr>
          </w:p>
        </w:tc>
      </w:tr>
      <w:tr>
        <w:trPr>
          <w:trHeight w:val="169"/>
        </w:trPr>
        <w:tc>
          <w:tcPr>
            <w:tcW w:w="1440" w:type="dxa"/>
            <w:vAlign w:val="bottom"/>
            <w:vMerge w:val="continue"/>
          </w:tcPr>
          <w:p>
            <w:pPr>
              <w:spacing w:after="0"/>
              <w:rPr>
                <w:sz w:val="14"/>
                <w:szCs w:val="14"/>
                <w:color w:val="auto"/>
              </w:rPr>
            </w:pPr>
          </w:p>
        </w:tc>
        <w:tc>
          <w:tcPr>
            <w:tcW w:w="8540" w:type="dxa"/>
            <w:vAlign w:val="bottom"/>
            <w:gridSpan w:val="22"/>
            <w:vMerge w:val="continue"/>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Item 1.</w:t>
            </w:r>
          </w:p>
        </w:tc>
        <w:tc>
          <w:tcPr>
            <w:tcW w:w="22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260" w:type="dxa"/>
            <w:vAlign w:val="bottom"/>
            <w:gridSpan w:val="7"/>
          </w:tcPr>
          <w:p>
            <w:pPr>
              <w:spacing w:after="0"/>
              <w:rPr>
                <w:sz w:val="24"/>
                <w:szCs w:val="24"/>
                <w:color w:val="auto"/>
              </w:rPr>
            </w:pP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(Unaudited) for the Three Months Ended March 31, 2026 and</w:t>
            </w: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88"/>
              </w:rPr>
              <w:t>2025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(Unaudited) for the Three Months Ended March</w:t>
            </w: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1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31, 2026 and 2025</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8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 as of March 31, 2026 and December 31, 2025</w:t>
            </w: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8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(Unaudited) for the Three Months Ended March</w:t>
            </w: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1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31, 2026 and 2025</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8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 for the Three Months Ended March 31, 2026</w:t>
            </w: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1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and 2025</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8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Item 2.</w:t>
            </w:r>
          </w:p>
        </w:tc>
        <w:tc>
          <w:tcPr>
            <w:tcW w:w="64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060" w:type="dxa"/>
            <w:vAlign w:val="bottom"/>
            <w:gridSpan w:val="3"/>
          </w:tcPr>
          <w:p>
            <w:pPr>
              <w:spacing w:after="0"/>
              <w:rPr>
                <w:sz w:val="24"/>
                <w:szCs w:val="24"/>
                <w:color w:val="auto"/>
              </w:rPr>
            </w:pP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18"/>
        </w:trPr>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160" w:type="dxa"/>
            <w:vAlign w:val="bottom"/>
            <w:gridSpan w:val="5"/>
          </w:tcPr>
          <w:p>
            <w:pPr>
              <w:spacing w:after="0"/>
              <w:rPr>
                <w:sz w:val="24"/>
                <w:szCs w:val="24"/>
                <w:color w:val="auto"/>
              </w:rPr>
            </w:pP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18"/>
        </w:trPr>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24"/>
                <w:szCs w:val="24"/>
                <w:color w:val="auto"/>
              </w:rPr>
            </w:pPr>
          </w:p>
        </w:tc>
        <w:tc>
          <w:tcPr>
            <w:tcW w:w="6740" w:type="dxa"/>
            <w:vAlign w:val="bottom"/>
            <w:gridSpan w:val="9"/>
          </w:tcPr>
          <w:p>
            <w:pPr>
              <w:spacing w:after="0"/>
              <w:rPr>
                <w:sz w:val="24"/>
                <w:szCs w:val="24"/>
                <w:color w:val="auto"/>
              </w:rPr>
            </w:pP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18"/>
        </w:trPr>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PART II</w:t>
            </w:r>
          </w:p>
        </w:tc>
        <w:tc>
          <w:tcPr>
            <w:tcW w:w="19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OTHER INFORMATION</w:t>
            </w:r>
          </w:p>
        </w:tc>
        <w:tc>
          <w:tcPr>
            <w:tcW w:w="6620" w:type="dxa"/>
            <w:vAlign w:val="bottom"/>
            <w:gridSpan w:val="8"/>
          </w:tcPr>
          <w:p>
            <w:pPr>
              <w:spacing w:after="0"/>
              <w:rPr>
                <w:sz w:val="24"/>
                <w:szCs w:val="24"/>
                <w:color w:val="auto"/>
              </w:rPr>
            </w:pP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18"/>
        </w:trPr>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Item 1.</w:t>
            </w:r>
          </w:p>
        </w:tc>
        <w:tc>
          <w:tcPr>
            <w:tcW w:w="8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18"/>
        </w:trPr>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24"/>
                <w:szCs w:val="24"/>
                <w:color w:val="auto"/>
              </w:rPr>
            </w:pPr>
          </w:p>
        </w:tc>
        <w:tc>
          <w:tcPr>
            <w:tcW w:w="400" w:type="dxa"/>
            <w:vAlign w:val="bottom"/>
            <w:tcBorders>
              <w:top w:val="single" w:sz="8" w:color="0000FF"/>
            </w:tcBorders>
            <w:gridSpan w:val="4"/>
          </w:tcPr>
          <w:p>
            <w:pPr>
              <w:spacing w:after="0"/>
              <w:rPr>
                <w:sz w:val="24"/>
                <w:szCs w:val="24"/>
                <w:color w:val="auto"/>
              </w:rPr>
            </w:pPr>
          </w:p>
        </w:tc>
        <w:tc>
          <w:tcPr>
            <w:tcW w:w="7200" w:type="dxa"/>
            <w:vAlign w:val="bottom"/>
            <w:gridSpan w:val="13"/>
          </w:tcPr>
          <w:p>
            <w:pPr>
              <w:spacing w:after="0"/>
              <w:rPr>
                <w:sz w:val="24"/>
                <w:szCs w:val="24"/>
                <w:color w:val="auto"/>
              </w:rPr>
            </w:pP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18"/>
        </w:trPr>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180" w:type="dxa"/>
            <w:vAlign w:val="bottom"/>
            <w:gridSpan w:val="6"/>
          </w:tcPr>
          <w:p>
            <w:pPr>
              <w:spacing w:after="0"/>
              <w:rPr>
                <w:sz w:val="24"/>
                <w:szCs w:val="24"/>
                <w:color w:val="auto"/>
              </w:rPr>
            </w:pP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18"/>
        </w:trPr>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Item 5.</w:t>
            </w:r>
          </w:p>
        </w:tc>
        <w:tc>
          <w:tcPr>
            <w:tcW w:w="8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18"/>
        </w:trPr>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Exhibits</w:t>
            </w:r>
          </w:p>
        </w:tc>
        <w:tc>
          <w:tcPr>
            <w:tcW w:w="7220" w:type="dxa"/>
            <w:vAlign w:val="bottom"/>
            <w:gridSpan w:val="14"/>
          </w:tcPr>
          <w:p>
            <w:pPr>
              <w:spacing w:after="0"/>
              <w:rPr>
                <w:sz w:val="24"/>
                <w:szCs w:val="24"/>
                <w:color w:val="auto"/>
              </w:rPr>
            </w:pP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7420" w:type="dxa"/>
            <w:vAlign w:val="bottom"/>
            <w:gridSpan w:val="1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40" w:type="dxa"/>
            <w:vAlign w:val="bottom"/>
          </w:tcPr>
          <w:p>
            <w:pPr>
              <w:spacing w:after="0"/>
              <w:rPr>
                <w:sz w:val="24"/>
                <w:szCs w:val="24"/>
                <w:color w:val="auto"/>
              </w:rPr>
            </w:pPr>
          </w:p>
        </w:tc>
        <w:tc>
          <w:tcPr>
            <w:tcW w:w="8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790"/>
        </w:trPr>
        <w:tc>
          <w:tcPr>
            <w:tcW w:w="144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gridSpan w:val="6"/>
          </w:tcPr>
          <w:p>
            <w:pPr>
              <w:spacing w:after="0"/>
              <w:rPr>
                <w:sz w:val="24"/>
                <w:szCs w:val="24"/>
                <w:color w:val="auto"/>
              </w:rPr>
            </w:pPr>
          </w:p>
        </w:tc>
        <w:tc>
          <w:tcPr>
            <w:tcW w:w="3240" w:type="dxa"/>
            <w:vAlign w:val="bottom"/>
            <w:gridSpan w:val="9"/>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26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7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260" w:type="dxa"/>
            <w:vAlign w:val="bottom"/>
            <w:shd w:val="clear" w:color="auto" w:fill="CFF0FC"/>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41,083</w:t>
            </w:r>
          </w:p>
        </w:tc>
        <w:tc>
          <w:tcPr>
            <w:tcW w:w="7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48,317</w:t>
            </w:r>
          </w:p>
        </w:tc>
        <w:tc>
          <w:tcPr>
            <w:tcW w:w="30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30,058</w:t>
            </w:r>
          </w:p>
        </w:tc>
        <w:tc>
          <w:tcPr>
            <w:tcW w:w="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35,425</w:t>
            </w:r>
          </w:p>
        </w:tc>
        <w:tc>
          <w:tcPr>
            <w:tcW w:w="300" w:type="dxa"/>
            <w:vAlign w:val="bottom"/>
          </w:tcPr>
          <w:p>
            <w:pPr>
              <w:spacing w:after="0"/>
              <w:rPr>
                <w:sz w:val="18"/>
                <w:szCs w:val="18"/>
                <w:color w:val="auto"/>
              </w:rPr>
            </w:pPr>
          </w:p>
        </w:tc>
      </w:tr>
      <w:tr>
        <w:trPr>
          <w:trHeight w:val="209"/>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11,025</w:t>
            </w: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12,892</w:t>
            </w:r>
          </w:p>
        </w:tc>
        <w:tc>
          <w:tcPr>
            <w:tcW w:w="30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10,974</w:t>
            </w:r>
          </w:p>
        </w:tc>
        <w:tc>
          <w:tcPr>
            <w:tcW w:w="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14,745</w:t>
            </w:r>
          </w:p>
        </w:tc>
        <w:tc>
          <w:tcPr>
            <w:tcW w:w="300" w:type="dxa"/>
            <w:vAlign w:val="bottom"/>
          </w:tcPr>
          <w:p>
            <w:pPr>
              <w:spacing w:after="0"/>
              <w:rPr>
                <w:sz w:val="18"/>
                <w:szCs w:val="18"/>
                <w:color w:val="auto"/>
              </w:rPr>
            </w:pPr>
          </w:p>
        </w:tc>
      </w:tr>
      <w:tr>
        <w:trPr>
          <w:trHeight w:val="210"/>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(1,853)</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tcPr>
          <w:p>
            <w:pPr>
              <w:spacing w:after="0"/>
              <w:rPr>
                <w:sz w:val="18"/>
                <w:szCs w:val="18"/>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526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r>
      <w:tr>
        <w:trPr>
          <w:trHeight w:val="209"/>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(1,762)</w:t>
            </w: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(323)</w:t>
            </w:r>
          </w:p>
        </w:tc>
      </w:tr>
      <w:tr>
        <w:trPr>
          <w:trHeight w:val="20"/>
        </w:trPr>
        <w:tc>
          <w:tcPr>
            <w:tcW w:w="526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r>
      <w:tr>
        <w:trPr>
          <w:trHeight w:val="209"/>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26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(1,439)</w:t>
            </w:r>
          </w:p>
        </w:tc>
      </w:tr>
      <w:tr>
        <w:trPr>
          <w:trHeight w:val="20"/>
        </w:trPr>
        <w:tc>
          <w:tcPr>
            <w:tcW w:w="5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7"/>
        </w:trPr>
        <w:tc>
          <w:tcPr>
            <w:tcW w:w="52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Earnings (loss) per share:</w:t>
            </w:r>
          </w:p>
        </w:tc>
        <w:tc>
          <w:tcPr>
            <w:tcW w:w="1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(0.12)</w:t>
            </w:r>
          </w:p>
        </w:tc>
      </w:tr>
      <w:tr>
        <w:trPr>
          <w:trHeight w:val="20"/>
        </w:trPr>
        <w:tc>
          <w:tcPr>
            <w:tcW w:w="5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6"/>
        </w:trPr>
        <w:tc>
          <w:tcPr>
            <w:tcW w:w="5260" w:type="dxa"/>
            <w:vAlign w:val="bottom"/>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760" w:type="dxa"/>
            <w:vAlign w:val="bottom"/>
            <w:gridSpan w:val="2"/>
            <w:shd w:val="clear" w:color="auto" w:fill="CFF0FC"/>
          </w:tcPr>
          <w:p>
            <w:pPr>
              <w:jc w:val="right"/>
              <w:ind w:right="3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(0.12)</w:t>
            </w:r>
          </w:p>
        </w:tc>
      </w:tr>
      <w:tr>
        <w:trPr>
          <w:trHeight w:val="197"/>
        </w:trPr>
        <w:tc>
          <w:tcPr>
            <w:tcW w:w="52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r>
      <w:tr>
        <w:trPr>
          <w:trHeight w:val="216"/>
        </w:trPr>
        <w:tc>
          <w:tcPr>
            <w:tcW w:w="5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3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11,753</w:t>
            </w:r>
          </w:p>
        </w:tc>
        <w:tc>
          <w:tcPr>
            <w:tcW w:w="300" w:type="dxa"/>
            <w:vAlign w:val="bottom"/>
            <w:tcBorders>
              <w:bottom w:val="single" w:sz="8" w:color="CFF0FC"/>
            </w:tcBorders>
            <w:shd w:val="clear" w:color="auto" w:fill="CFF0FC"/>
          </w:tcPr>
          <w:p>
            <w:pPr>
              <w:spacing w:after="0"/>
              <w:rPr>
                <w:sz w:val="18"/>
                <w:szCs w:val="18"/>
                <w:color w:val="auto"/>
              </w:rPr>
            </w:pPr>
          </w:p>
        </w:tc>
      </w:tr>
      <w:tr>
        <w:trPr>
          <w:trHeight w:val="210"/>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11,894</w:t>
            </w:r>
          </w:p>
        </w:tc>
        <w:tc>
          <w:tcPr>
            <w:tcW w:w="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11,753</w:t>
            </w:r>
          </w:p>
        </w:tc>
        <w:tc>
          <w:tcPr>
            <w:tcW w:w="3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4563110</wp:posOffset>
            </wp:positionH>
            <wp:positionV relativeFrom="paragraph">
              <wp:posOffset>-1344930</wp:posOffset>
            </wp:positionV>
            <wp:extent cx="60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5977255</wp:posOffset>
            </wp:positionH>
            <wp:positionV relativeFrom="paragraph">
              <wp:posOffset>-1344930</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-1062355</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5977255</wp:posOffset>
            </wp:positionH>
            <wp:positionV relativeFrom="paragraph">
              <wp:posOffset>-1062355</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-453390</wp:posOffset>
            </wp:positionV>
            <wp:extent cx="603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-436245</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5977255</wp:posOffset>
            </wp:positionH>
            <wp:positionV relativeFrom="paragraph">
              <wp:posOffset>-453390</wp:posOffset>
            </wp:positionV>
            <wp:extent cx="603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5977255</wp:posOffset>
            </wp:positionH>
            <wp:positionV relativeFrom="paragraph">
              <wp:posOffset>-436245</wp:posOffset>
            </wp:positionV>
            <wp:extent cx="60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-153670</wp:posOffset>
            </wp:positionV>
            <wp:extent cx="603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5977255</wp:posOffset>
            </wp:positionH>
            <wp:positionV relativeFrom="paragraph">
              <wp:posOffset>-153670</wp:posOffset>
            </wp:positionV>
            <wp:extent cx="603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4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560" w:type="dxa"/>
            <w:vAlign w:val="bottom"/>
          </w:tcPr>
          <w:p>
            <w:pPr>
              <w:spacing w:after="0"/>
              <w:rPr>
                <w:sz w:val="12"/>
                <w:szCs w:val="12"/>
                <w:color w:val="auto"/>
              </w:rPr>
            </w:pPr>
          </w:p>
        </w:tc>
        <w:tc>
          <w:tcPr>
            <w:tcW w:w="13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7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20" w:type="dxa"/>
            <w:vAlign w:val="bottom"/>
            <w:shd w:val="clear" w:color="auto" w:fill="CFF0FC"/>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(1,439)</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8"/>
                <w:szCs w:val="18"/>
                <w:color w:val="auto"/>
              </w:rPr>
            </w:pPr>
          </w:p>
        </w:tc>
      </w:tr>
      <w:tr>
        <w:trPr>
          <w:trHeight w:val="20"/>
        </w:trPr>
        <w:tc>
          <w:tcPr>
            <w:tcW w:w="556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13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320" w:type="dxa"/>
            <w:vAlign w:val="bottom"/>
            <w:shd w:val="clear" w:color="auto" w:fill="CFF0FC"/>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(297)</w:t>
            </w: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(1,409)</w:t>
            </w:r>
          </w:p>
        </w:tc>
      </w:tr>
      <w:tr>
        <w:trPr>
          <w:trHeight w:val="20"/>
        </w:trPr>
        <w:tc>
          <w:tcPr>
            <w:tcW w:w="556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4725670</wp:posOffset>
            </wp:positionH>
            <wp:positionV relativeFrom="paragraph">
              <wp:posOffset>-316230</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-316230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4725670</wp:posOffset>
            </wp:positionH>
            <wp:positionV relativeFrom="paragraph">
              <wp:posOffset>-24765</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4725670</wp:posOffset>
            </wp:positionH>
            <wp:positionV relativeFrom="paragraph">
              <wp:posOffset>-7620</wp:posOffset>
            </wp:positionV>
            <wp:extent cx="6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-24765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-7620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33,550</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$269 in 2026 and $275</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 2025</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Unbilled receivables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66,566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Equipment, enterprise software, and leasehold improvements, at cost: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Enterprise software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(7,316)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(7,183)</w:t>
            </w:r>
          </w:p>
        </w:tc>
        <w:tc>
          <w:tcPr>
            <w:tcW w:w="0" w:type="dxa"/>
            <w:vAlign w:val="bottom"/>
          </w:tcPr>
          <w:p>
            <w:pPr>
              <w:spacing w:after="0"/>
              <w:rPr>
                <w:sz w:val="1"/>
                <w:szCs w:val="1"/>
                <w:color w:val="auto"/>
              </w:rPr>
            </w:pPr>
          </w:p>
        </w:tc>
      </w:tr>
      <w:tr>
        <w:trPr>
          <w:trHeight w:val="209"/>
        </w:trPr>
        <w:tc>
          <w:tcPr>
            <w:tcW w:w="6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equipment, enterprise software, and leasehold improvements</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net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deposits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 of amortization</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107,994</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liability, less current portion</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Long-term severance liability</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contingent liabilities (Note 5)</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Preferred Stock, no par value; 20,000,000 shares authorized; none outstanding</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$.01; 100,000,000 shares authorized and 14,020,047 shares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issued as of March 31, 2026 and 13,715,016 shares issued as of December 31, 2025</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44,562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198"/>
        </w:trPr>
        <w:tc>
          <w:tcPr>
            <w:tcW w:w="6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stock, at cost; 2,022,864 shares as of March 31, 2026 and 2,022,864 shares as</w:t>
            </w:r>
          </w:p>
        </w:tc>
        <w:tc>
          <w:tcPr>
            <w:tcW w:w="220" w:type="dxa"/>
            <w:vAlign w:val="bottom"/>
          </w:tcPr>
          <w:p>
            <w:pPr>
              <w:spacing w:after="0"/>
              <w:rPr>
                <w:sz w:val="17"/>
                <w:szCs w:val="17"/>
                <w:color w:val="auto"/>
              </w:rPr>
            </w:pPr>
          </w:p>
        </w:tc>
        <w:tc>
          <w:tcPr>
            <w:tcW w:w="1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(7,131)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(7,131)</w:t>
            </w:r>
          </w:p>
        </w:tc>
        <w:tc>
          <w:tcPr>
            <w:tcW w:w="0" w:type="dxa"/>
            <w:vAlign w:val="bottom"/>
          </w:tcPr>
          <w:p>
            <w:pPr>
              <w:spacing w:after="0"/>
              <w:rPr>
                <w:sz w:val="1"/>
                <w:szCs w:val="1"/>
                <w:color w:val="auto"/>
              </w:rPr>
            </w:pPr>
          </w:p>
        </w:tc>
      </w:tr>
      <w:tr>
        <w:trPr>
          <w:trHeight w:val="221"/>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December 31, 2025</w:t>
            </w:r>
          </w:p>
        </w:tc>
        <w:tc>
          <w:tcPr>
            <w:tcW w:w="2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91,061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107,994</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-4919980</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-4919980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-4636770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-4636770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-3531235</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-3531235</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-2399665</wp:posOffset>
            </wp:positionV>
            <wp:extent cx="603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-2399665</wp:posOffset>
            </wp:positionV>
            <wp:extent cx="60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-1833880</wp:posOffset>
            </wp:positionV>
            <wp:extent cx="603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-1833880</wp:posOffset>
            </wp:positionV>
            <wp:extent cx="603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-170815</wp:posOffset>
            </wp:positionV>
            <wp:extent cx="603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-170815</wp:posOffset>
            </wp:positionV>
            <wp:extent cx="60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9720"/>
          </w:cols>
          <w:pgMar w:left="1080" w:top="117" w:right="109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499110</wp:posOffset>
            </wp:positionV>
            <wp:extent cx="70377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5"/>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80" w:type="dxa"/>
            <w:vAlign w:val="bottom"/>
            <w:gridSpan w:val="5"/>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920" w:type="dxa"/>
            <w:vAlign w:val="bottom"/>
            <w:gridSpan w:val="5"/>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0" w:type="dxa"/>
            <w:vAlign w:val="bottom"/>
            <w:gridSpan w:val="5"/>
            <w:vMerge w:val="continue"/>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90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9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9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10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6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December 31, 2025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56,427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 (7,131)</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(2,640)</w:t>
            </w:r>
          </w:p>
        </w:tc>
        <w:tc>
          <w:tcPr>
            <w:tcW w:w="2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gain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(561)</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gridSpan w:val="2"/>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gridSpan w:val="2"/>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Balances, March 31, 2026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 (7,131)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(3,201)</w:t>
            </w:r>
          </w:p>
        </w:tc>
        <w:tc>
          <w:tcPr>
            <w:tcW w:w="200" w:type="dxa"/>
            <w:vAlign w:val="bottom"/>
            <w:gridSpan w:val="2"/>
          </w:tcPr>
          <w:p>
            <w:pPr>
              <w:jc w:val="right"/>
              <w:ind w:right="4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108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December 31, 2024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38,277</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55,817</w:t>
            </w:r>
          </w:p>
        </w:tc>
        <w:tc>
          <w:tcPr>
            <w:tcW w:w="160" w:type="dxa"/>
            <w:vAlign w:val="bottom"/>
            <w:shd w:val="clear" w:color="auto" w:fill="CFF0FC"/>
          </w:tcPr>
          <w:p>
            <w:pPr>
              <w:spacing w:after="0"/>
              <w:rPr>
                <w:sz w:val="18"/>
                <w:szCs w:val="18"/>
                <w:color w:val="auto"/>
              </w:rPr>
            </w:pPr>
          </w:p>
        </w:tc>
        <w:tc>
          <w:tcPr>
            <w:tcW w:w="90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 (4,885)</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(1,910)</w:t>
            </w:r>
          </w:p>
        </w:tc>
        <w:tc>
          <w:tcPr>
            <w:tcW w:w="2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(1,439)</w:t>
            </w:r>
          </w:p>
        </w:tc>
        <w:tc>
          <w:tcPr>
            <w:tcW w:w="8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gain, net of taxes</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Balances, March 31, 2025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39,199</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54,378</w:t>
            </w:r>
          </w:p>
        </w:tc>
        <w:tc>
          <w:tcPr>
            <w:tcW w:w="160" w:type="dxa"/>
            <w:vAlign w:val="bottom"/>
          </w:tcPr>
          <w:p>
            <w:pPr>
              <w:spacing w:after="0"/>
              <w:rPr>
                <w:sz w:val="18"/>
                <w:szCs w:val="18"/>
                <w:color w:val="auto"/>
              </w:rPr>
            </w:pPr>
          </w:p>
        </w:tc>
        <w:tc>
          <w:tcPr>
            <w:tcW w:w="9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 (4,885)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(1,880)</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2479675</wp:posOffset>
            </wp:positionH>
            <wp:positionV relativeFrom="paragraph">
              <wp:posOffset>-1568450</wp:posOffset>
            </wp:positionV>
            <wp:extent cx="596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-1568450</wp:posOffset>
            </wp:positionV>
            <wp:extent cx="596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-1568450</wp:posOffset>
            </wp:positionV>
            <wp:extent cx="596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4434205</wp:posOffset>
            </wp:positionH>
            <wp:positionV relativeFrom="paragraph">
              <wp:posOffset>-1568450</wp:posOffset>
            </wp:positionV>
            <wp:extent cx="603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-1568450</wp:posOffset>
            </wp:positionV>
            <wp:extent cx="603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-1568450</wp:posOffset>
            </wp:positionV>
            <wp:extent cx="60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-170815</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3182620</wp:posOffset>
            </wp:positionH>
            <wp:positionV relativeFrom="paragraph">
              <wp:posOffset>-170815</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-170815</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4468495</wp:posOffset>
            </wp:positionH>
            <wp:positionV relativeFrom="paragraph">
              <wp:posOffset>-170815</wp:posOffset>
            </wp:positionV>
            <wp:extent cx="596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-170815</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-170815</wp:posOffset>
            </wp:positionV>
            <wp:extent cx="60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480" w:type="dxa"/>
            <w:vAlign w:val="bottom"/>
            <w:gridSpan w:val="2"/>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(1,439)</w:t>
            </w:r>
          </w:p>
        </w:tc>
      </w:tr>
      <w:tr>
        <w:trPr>
          <w:trHeight w:val="198"/>
        </w:trPr>
        <w:tc>
          <w:tcPr>
            <w:tcW w:w="604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cash provided by (used in)</w:t>
            </w:r>
          </w:p>
        </w:tc>
        <w:tc>
          <w:tcPr>
            <w:tcW w:w="6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operating activities:</w:t>
            </w:r>
          </w:p>
        </w:tc>
        <w:tc>
          <w:tcPr>
            <w:tcW w:w="6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18"/>
                <w:szCs w:val="18"/>
                <w:color w:val="auto"/>
              </w:rPr>
            </w:pPr>
          </w:p>
        </w:tc>
      </w:tr>
      <w:tr>
        <w:trPr>
          <w:trHeight w:val="216"/>
        </w:trPr>
        <w:tc>
          <w:tcPr>
            <w:tcW w:w="6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Bad debt expense</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amortization of deferred financing costs</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r>
      <w:tr>
        <w:trPr>
          <w:trHeight w:val="216"/>
        </w:trPr>
        <w:tc>
          <w:tcPr>
            <w:tcW w:w="6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FF0FC"/>
          </w:tcPr>
          <w:p>
            <w:pPr>
              <w:spacing w:after="0"/>
              <w:rPr>
                <w:sz w:val="18"/>
                <w:szCs w:val="18"/>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16"/>
        </w:trPr>
        <w:tc>
          <w:tcPr>
            <w:tcW w:w="6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Operating lease assets and liabilities, net</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deferred compensation</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r>
      <w:tr>
        <w:trPr>
          <w:trHeight w:val="216"/>
        </w:trPr>
        <w:tc>
          <w:tcPr>
            <w:tcW w:w="6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Unrealized FX on monetary items</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Working capital items:</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Accounts receivable and unbilled receivables</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6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(942)</w:t>
            </w: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(1,729)</w:t>
            </w:r>
          </w:p>
        </w:tc>
      </w:tr>
      <w:tr>
        <w:trPr>
          <w:trHeight w:val="216"/>
        </w:trPr>
        <w:tc>
          <w:tcPr>
            <w:tcW w:w="6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FF0FC"/>
          </w:tcPr>
          <w:p>
            <w:pPr>
              <w:spacing w:after="0"/>
              <w:rPr>
                <w:sz w:val="18"/>
                <w:szCs w:val="18"/>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6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cash flows provided by (used in) operating activities</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(2,922)</w:t>
            </w:r>
          </w:p>
        </w:tc>
      </w:tr>
      <w:tr>
        <w:trPr>
          <w:trHeight w:val="210"/>
        </w:trPr>
        <w:tc>
          <w:tcPr>
            <w:tcW w:w="6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640" w:type="dxa"/>
            <w:vAlign w:val="bottom"/>
            <w:tcBorders>
              <w:top w:val="single" w:sz="8" w:color="CFF0F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Recovery of (payment for) non-current deposits</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6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r>
      <w:tr>
        <w:trPr>
          <w:trHeight w:val="210"/>
        </w:trPr>
        <w:tc>
          <w:tcPr>
            <w:tcW w:w="6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640" w:type="dxa"/>
            <w:vAlign w:val="bottom"/>
            <w:tcBorders>
              <w:top w:val="single" w:sz="8" w:color="CFF0F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common shares</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6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r>
      <w:tr>
        <w:trPr>
          <w:trHeight w:val="209"/>
        </w:trPr>
        <w:tc>
          <w:tcPr>
            <w:tcW w:w="604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cash flows provided by (used in) financing activities</w:t>
            </w:r>
          </w:p>
        </w:tc>
        <w:tc>
          <w:tcPr>
            <w:tcW w:w="6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6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(3,077)</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6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36,533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27,742</w:t>
            </w:r>
          </w:p>
        </w:tc>
        <w:tc>
          <w:tcPr>
            <w:tcW w:w="100" w:type="dxa"/>
            <w:vAlign w:val="bottom"/>
          </w:tcPr>
          <w:p>
            <w:pPr>
              <w:spacing w:after="0"/>
              <w:rPr>
                <w:sz w:val="18"/>
                <w:szCs w:val="18"/>
                <w:color w:val="auto"/>
              </w:rPr>
            </w:pPr>
          </w:p>
        </w:tc>
      </w:tr>
      <w:tr>
        <w:trPr>
          <w:trHeight w:val="230"/>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33,550</w:t>
            </w:r>
          </w:p>
        </w:tc>
        <w:tc>
          <w:tcPr>
            <w:tcW w:w="1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24,665</w:t>
            </w:r>
          </w:p>
        </w:tc>
        <w:tc>
          <w:tcPr>
            <w:tcW w:w="100" w:type="dxa"/>
            <w:vAlign w:val="bottom"/>
            <w:shd w:val="clear" w:color="auto" w:fill="CFF0FC"/>
          </w:tcPr>
          <w:p>
            <w:pPr>
              <w:spacing w:after="0"/>
              <w:rPr>
                <w:sz w:val="19"/>
                <w:szCs w:val="19"/>
                <w:color w:val="auto"/>
              </w:rPr>
            </w:pPr>
          </w:p>
        </w:tc>
      </w:tr>
      <w:tr>
        <w:trPr>
          <w:trHeight w:val="20"/>
        </w:trPr>
        <w:tc>
          <w:tcPr>
            <w:tcW w:w="60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-1731010</wp:posOffset>
            </wp:positionV>
            <wp:extent cx="60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-1731010</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-1165225</wp:posOffset>
            </wp:positionV>
            <wp:extent cx="603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-1165225</wp:posOffset>
            </wp:positionV>
            <wp:extent cx="603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-599440</wp:posOffset>
            </wp:positionV>
            <wp:extent cx="603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-599440</wp:posOffset>
            </wp:positionV>
            <wp:extent cx="603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-24765</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-7620</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-7620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including revisions to the classification of certain cash flow items.</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March 31, 2026 AND 2025</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40" w:right="5440" w:hanging="436"/>
        <w:spacing w:after="0" w:line="378" w:lineRule="auto"/>
        <w:tabs>
          <w:tab w:leader="none" w:pos="441"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Basis of Presentation: </w:t>
      </w:r>
      <w:r>
        <w:rPr>
          <w:rFonts w:ascii="Times New Roman" w:cs="Times New Roman" w:eastAsia="Times New Roman" w:hAnsi="Times New Roman"/>
          <w:sz w:val="18"/>
          <w:szCs w:val="18"/>
          <w:b w:val="1"/>
          <w:bCs w:val="1"/>
          <w:i w:val="1"/>
          <w:iCs w:val="1"/>
          <w:color w:val="auto"/>
        </w:rPr>
        <w:t>Basis of Presentation</w:t>
      </w: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References in this Quarterly Report on Form 10-Q to “we”, “our”, “Mastech Digital”, “Mastech” or “the Company” refer collectively to Mastech Digital, Inc. and its wholly owned operating subsidiaries, which are included in these Condensed Consolidated Financial Statements (the “Financial Statements”).</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a provider of Digital Transformation IT services to primarily large and medium-sized organizations.</w:t>
      </w:r>
    </w:p>
    <w:p>
      <w:pPr>
        <w:spacing w:after="0" w:line="225"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Our portfolio of offerings includes a combination of professional services and staffing solutions designed to support our clients’ digital and technology initiatives. Beginning on January 1, 2026, we report our operations through two segments: Talent and Data &amp; AI. This change reflects a realignment of the Company's internal management and reporting structure under its operating strategy, whereby the Chief Operating Decision Maker evaluates operating performance and allocates resources based on these two segments. Prior-period segment information has been recast to conform to the current presentation.</w:t>
      </w:r>
    </w:p>
    <w:p>
      <w:pPr>
        <w:spacing w:after="0" w:line="183"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The Data &amp; AI segment consists of direct client engagements that are managed as services-led accounts. These offerings include data management and analytics, digital transformation consulting, AI and Industry Solutions, data engineering and IT services, and managed services. These services are delivered through a mix of on-site and offshore resources and may be structured as project-based, time-and-materials, or fixed-price arrangements. Our capabilities in this segment have been expanded through acquisitions, including InfoTrellis, Inc. ("InfoTrellis") in 2017, which added specialized data and analytics expertise, and AmberLeaf Partners, Inc. ("AmberLeaf") in 2020, which enhanced our customer experience consulting and managed services offerings.</w:t>
      </w:r>
    </w:p>
    <w:p>
      <w:pPr>
        <w:spacing w:after="0" w:line="187"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The Talent segment consists of staffing engagements that provide clients with access to skilled technology professionals across a broad range of digital and mainstream IT disciplines. These engagements include both intermediated arrangements through managed service providers (“MSPs”) and system integrators, as well as certain direct client staffing relationships that are managed as staffing-only engagements. Our digital technology capabilities include data management, analytics, cloud, mobility, social, and artificial intelligence. We serve organizations with significant IT spending and recurring staffing needs, as well as clients with project-based staffing requirements.</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Accounting Principles</w:t>
      </w:r>
    </w:p>
    <w:p>
      <w:pPr>
        <w:spacing w:after="0" w:line="121"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have been prepared by management in accordance with U.S. generally accepted accounting principles (“GAAP”) for interim financial information and applicable rules and regulations of the Securities and Exchange Commission (the “SEC”). Accordingly, they do not include all of the information and disclosures required by U.S. GAAP for complete consolidated financial statements. In the opinion of management, all adjustments, consisting principally of normal recurring adjustments, considered necessary for a fair presentation have been included. The preparation of financial statements in conformity with U.S. GAAP requires management to make estimates and assumptions that affect the amounts reported in the Financial Statements and the accompanying notes. Actual results could differ from these estimates. These Financial Statements should be read in conjunction with the Company’s audited consolidated financial statements and accompanying notes for the year ended December 31, 2025, included in our Annual Report on Form 10-K filed with the SEC on March 18, 2026. Additionally, our operating results for the three months ended March 31, 2026, are not necessarily indicative of the results that can be expected for the year ending December 31, 2026 or for any other period.</w:t>
      </w:r>
    </w:p>
    <w:p>
      <w:pPr>
        <w:spacing w:after="0" w:line="2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The Financial Statements include the accounts of the Company and its wholly-owned subsidiaries. All material intercompany transactions and balances have been eliminated in consolidation.</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ind w:right="740" w:firstLine="441"/>
        <w:spacing w:after="0" w:line="312" w:lineRule="auto"/>
        <w:rPr>
          <w:sz w:val="20"/>
          <w:szCs w:val="20"/>
          <w:color w:val="auto"/>
        </w:rPr>
      </w:pPr>
      <w:r>
        <w:rPr>
          <w:rFonts w:ascii="Times New Roman" w:cs="Times New Roman" w:eastAsia="Times New Roman" w:hAnsi="Times New Roman"/>
          <w:sz w:val="17"/>
          <w:szCs w:val="17"/>
          <w:color w:val="auto"/>
        </w:rPr>
        <w:t>Please refer to Note 1 “Summary of Significant Accounting Policies” of the Consolidated Financial Statements and “Management’s Discussion and Analysis of Financial Condition and Results of Operations–Critical Accounting Policies and</w:t>
      </w:r>
    </w:p>
    <w:p>
      <w:pPr>
        <w:sectPr>
          <w:pgSz w:w="11900" w:h="16838" w:orient="portrait"/>
          <w:cols w:equalWidth="0" w:num="1">
            <w:col w:w="9720"/>
          </w:cols>
          <w:pgMar w:left="1080" w:top="117" w:right="1099"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499110</wp:posOffset>
            </wp:positionV>
            <wp:extent cx="70377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Estimates” in our Annual Report on Form 10-K for the year ended December 31, 2025, for a more detailed discussion of our significant accounting policies and critical accounting estimates. There were no material changes to these critical accounting policies during the three months ended March 31, 2026.</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300" w:firstLine="441"/>
        <w:spacing w:after="0" w:line="266" w:lineRule="auto"/>
        <w:rPr>
          <w:sz w:val="20"/>
          <w:szCs w:val="20"/>
          <w:color w:val="auto"/>
        </w:rPr>
      </w:pPr>
      <w:r>
        <w:rPr>
          <w:rFonts w:ascii="Times New Roman" w:cs="Times New Roman" w:eastAsia="Times New Roman" w:hAnsi="Times New Roman"/>
          <w:sz w:val="18"/>
          <w:szCs w:val="18"/>
          <w:color w:val="auto"/>
        </w:rPr>
        <w:t>The Company has two reportable segments, in accordance with Accounting Standards Codification (“ASC”) Topic 280 “Disclosures About Segments of an Enterprise and Related Information”: Talent and Data &amp; AI. See Note 12, "Business Segments and Geographic Information", for additional information regarding the Company's reportable segments.</w:t>
      </w:r>
    </w:p>
    <w:p>
      <w:pPr>
        <w:spacing w:after="0" w:line="280" w:lineRule="exact"/>
        <w:rPr>
          <w:sz w:val="20"/>
          <w:szCs w:val="20"/>
          <w:color w:val="auto"/>
        </w:rPr>
      </w:pPr>
    </w:p>
    <w:p>
      <w:pPr>
        <w:ind w:left="440" w:hanging="436"/>
        <w:spacing w:after="0"/>
        <w:tabs>
          <w:tab w:leader="none" w:pos="4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The Company recognizes revenue on time-and-material contracts over time as services are performed and expenses are incurred. Time-and-material contracts typically bill at an agreed-upon hourly rate, plus out-of-pocket expense reimbursement. Out-of-pocket expense reimbursement amounts vary by assignment, but on average represent less than 2% of the total contract revenues. Revenue is earned on a per transaction or labor hour basis, as that amount directly corresponds to the value of the Company’s performance. Revenue recognition is negatively impacted by holidays and consultant vacation and sick days.</w:t>
      </w:r>
    </w:p>
    <w:p>
      <w:pPr>
        <w:spacing w:after="0" w:line="183"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The Company has determined that the cost-based input method provides a fair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192" w:lineRule="exact"/>
        <w:rPr>
          <w:sz w:val="20"/>
          <w:szCs w:val="20"/>
          <w:color w:val="auto"/>
        </w:rPr>
      </w:pPr>
    </w:p>
    <w:p>
      <w:pPr>
        <w:ind w:right="520" w:firstLine="441"/>
        <w:spacing w:after="0" w:line="282" w:lineRule="auto"/>
        <w:rPr>
          <w:sz w:val="20"/>
          <w:szCs w:val="20"/>
          <w:color w:val="auto"/>
        </w:rPr>
      </w:pPr>
      <w:r>
        <w:rPr>
          <w:rFonts w:ascii="Times New Roman" w:cs="Times New Roman" w:eastAsia="Times New Roman" w:hAnsi="Times New Roman"/>
          <w:sz w:val="18"/>
          <w:szCs w:val="18"/>
          <w:color w:val="auto"/>
        </w:rPr>
        <w:t>The Company’s time-and-material and fixed price revenue streams are recognized over time as the customer receives and consumes the benefits of the Company’s performance as the work is performed.</w:t>
      </w:r>
    </w:p>
    <w:p>
      <w:pPr>
        <w:spacing w:after="0" w:line="162"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162"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We do not sell, lease or otherwise market computer software or hardware, and, essentially, 100% of our revenue is derived from the sale of data and analytics, IT staffing and digital transformation services. We expense sales commissions in the same period in which revenues are realized. These costs are recorded within sales, general and administrative expenses.</w:t>
      </w:r>
    </w:p>
    <w:p>
      <w:pPr>
        <w:spacing w:after="0" w:line="176"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Each contract the Company enters into is assessed to determine the promised services to be performed and includes identification of the performance obligations required by the contract. In substantially all of our contracts, we have identified a single performance obligation for each contract either because the promised services are distinct, or the promised services are highly interrelated and interdependent and therefore represent a combined single performance obligation.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Beginning in January 1, 2026, the Company reports its operations through two segments: Services and Data &amp; AI.</w:t>
      </w:r>
    </w:p>
    <w:p>
      <w:pPr>
        <w:spacing w:after="0" w:line="225"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The Data &amp; AI segment provides direct client engagements that are managed as services-led accounts. These offerings include data management and analytics, digital transformation consulting, AI and Industry Solutions, staffing to direct customers, data engineering and IT services, and managed services. Engagements are typically project-based and may be structured as time-and-material or fixed-price arrangements and delivered using a combination of on-site and offshore resources.</w:t>
      </w:r>
    </w:p>
    <w:p>
      <w:pPr>
        <w:spacing w:after="0" w:line="180"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The Talent segment consists of staffing engagements that provide clients with access to skilled technology professionals across a broad range of digital and mainstream IT disciplines. These engagements include both intermediated arrangements through managed service providers and system integrators, as well as certain direct client staffing relationships that are managed as staffing-only engagements. Substantially all revenue within this segment is recognized over time as services are performed, generally based on hours worked.</w:t>
      </w:r>
    </w:p>
    <w:p>
      <w:pPr>
        <w:sectPr>
          <w:pgSz w:w="11900" w:h="16838" w:orient="portrait"/>
          <w:cols w:equalWidth="0" w:num="1">
            <w:col w:w="9720"/>
          </w:cols>
          <w:pgMar w:left="1080" w:top="11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499110</wp:posOffset>
            </wp:positionV>
            <wp:extent cx="703770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depicts the disaggregation of our revenues by contract type and operating segment:</w:t>
      </w:r>
    </w:p>
    <w:p>
      <w:pPr>
        <w:spacing w:after="0" w:line="246"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3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80" w:type="dxa"/>
        <w:tblCellMar>
          <w:top w:w="0" w:type="dxa"/>
          <w:left w:w="0" w:type="dxa"/>
          <w:bottom w:w="0" w:type="dxa"/>
          <w:right w:w="0" w:type="dxa"/>
        </w:tblCellMar>
      </w:tblPr>
      <w:tr>
        <w:trPr>
          <w:trHeight w:val="142"/>
        </w:trPr>
        <w:tc>
          <w:tcPr>
            <w:tcW w:w="1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3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7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300" w:type="dxa"/>
            <w:vAlign w:val="bottom"/>
            <w:vMerge w:val="continue"/>
          </w:tcPr>
          <w:p>
            <w:pPr>
              <w:spacing w:after="0"/>
              <w:rPr>
                <w:sz w:val="12"/>
                <w:szCs w:val="12"/>
                <w:color w:val="auto"/>
              </w:rPr>
            </w:pPr>
          </w:p>
        </w:tc>
        <w:tc>
          <w:tcPr>
            <w:tcW w:w="7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500" w:type="dxa"/>
            <w:vAlign w:val="bottom"/>
            <w:gridSpan w:val="3"/>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Data and AI Segment</w:t>
            </w:r>
          </w:p>
        </w:tc>
        <w:tc>
          <w:tcPr>
            <w:tcW w:w="1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20" w:type="dxa"/>
            <w:vAlign w:val="bottom"/>
            <w:tcBorders>
              <w:top w:val="single" w:sz="8" w:color="auto"/>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CFF0FC"/>
          </w:tcPr>
          <w:p>
            <w:pPr>
              <w:spacing w:after="0" w:line="20" w:lineRule="exact"/>
              <w:rPr>
                <w:sz w:val="1"/>
                <w:szCs w:val="1"/>
                <w:color w:val="auto"/>
              </w:rPr>
            </w:pPr>
          </w:p>
        </w:tc>
        <w:tc>
          <w:tcPr>
            <w:tcW w:w="284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Time-and-material Contracts</w:t>
            </w:r>
          </w:p>
        </w:tc>
        <w:tc>
          <w:tcPr>
            <w:tcW w:w="1220" w:type="dxa"/>
            <w:vAlign w:val="bottom"/>
          </w:tcPr>
          <w:p>
            <w:pPr>
              <w:jc w:val="right"/>
              <w:ind w:right="1058"/>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12,446</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Fixed-price Contracts</w:t>
            </w:r>
          </w:p>
        </w:tc>
        <w:tc>
          <w:tcPr>
            <w:tcW w:w="1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Subtotal Data &amp; AI</w:t>
            </w:r>
          </w:p>
        </w:tc>
        <w:tc>
          <w:tcPr>
            <w:tcW w:w="1220" w:type="dxa"/>
            <w:vAlign w:val="bottom"/>
          </w:tcPr>
          <w:p>
            <w:pPr>
              <w:jc w:val="right"/>
              <w:ind w:right="105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12,584</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20" w:type="dxa"/>
            <w:vAlign w:val="bottom"/>
            <w:tcBorders>
              <w:bottom w:val="single" w:sz="8" w:color="auto"/>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w w:val="97"/>
              </w:rPr>
              <w:t>Talent Segment</w:t>
            </w:r>
          </w:p>
        </w:tc>
        <w:tc>
          <w:tcPr>
            <w:tcW w:w="3280" w:type="dxa"/>
            <w:vAlign w:val="bottom"/>
            <w:tcBorders>
              <w:bottom w:val="single" w:sz="8" w:color="CFF0FC"/>
            </w:tcBorders>
            <w:gridSpan w:val="2"/>
            <w:shd w:val="clear" w:color="auto" w:fill="CFF0FC"/>
          </w:tcPr>
          <w:p>
            <w:pPr>
              <w:spacing w:after="0"/>
              <w:rPr>
                <w:sz w:val="15"/>
                <w:szCs w:val="15"/>
                <w:color w:val="auto"/>
              </w:rPr>
            </w:pPr>
          </w:p>
        </w:tc>
        <w:tc>
          <w:tcPr>
            <w:tcW w:w="12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Time-and-material Contracts</w:t>
            </w:r>
          </w:p>
        </w:tc>
        <w:tc>
          <w:tcPr>
            <w:tcW w:w="1220" w:type="dxa"/>
            <w:vAlign w:val="bottom"/>
          </w:tcPr>
          <w:p>
            <w:pPr>
              <w:jc w:val="right"/>
              <w:ind w:right="1058"/>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28,499</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0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Subtotal Talent</w:t>
            </w:r>
          </w:p>
        </w:tc>
        <w:tc>
          <w:tcPr>
            <w:tcW w:w="1220" w:type="dxa"/>
            <w:vAlign w:val="bottom"/>
            <w:shd w:val="clear" w:color="auto" w:fill="CFF0FC"/>
          </w:tcPr>
          <w:p>
            <w:pPr>
              <w:jc w:val="right"/>
              <w:ind w:right="105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28,499</w:t>
            </w:r>
          </w:p>
        </w:tc>
        <w:tc>
          <w:tcPr>
            <w:tcW w:w="10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32,320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284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gridSpan w:val="3"/>
          </w:tcPr>
          <w:p>
            <w:pPr>
              <w:ind w:left="200"/>
              <w:spacing w:after="0" w:line="196" w:lineRule="exact"/>
              <w:rPr>
                <w:sz w:val="20"/>
                <w:szCs w:val="20"/>
                <w:color w:val="auto"/>
              </w:rPr>
            </w:pPr>
            <w:r>
              <w:rPr>
                <w:rFonts w:ascii="Times New Roman" w:cs="Times New Roman" w:eastAsia="Times New Roman" w:hAnsi="Times New Roman"/>
                <w:sz w:val="18"/>
                <w:szCs w:val="18"/>
                <w:b w:val="1"/>
                <w:bCs w:val="1"/>
                <w:color w:val="auto"/>
              </w:rPr>
              <w:t>Total Revenues</w:t>
            </w:r>
          </w:p>
        </w:tc>
        <w:tc>
          <w:tcPr>
            <w:tcW w:w="1220" w:type="dxa"/>
            <w:vAlign w:val="bottom"/>
          </w:tcPr>
          <w:p>
            <w:pPr>
              <w:jc w:val="right"/>
              <w:ind w:right="105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41,083</w:t>
            </w:r>
          </w:p>
        </w:tc>
        <w:tc>
          <w:tcPr>
            <w:tcW w:w="1000" w:type="dxa"/>
            <w:vAlign w:val="bottom"/>
            <w:gridSpan w:val="2"/>
          </w:tcPr>
          <w:p>
            <w:pPr>
              <w:ind w:left="30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48,317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-770890</wp:posOffset>
            </wp:positionV>
            <wp:extent cx="514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-770890</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-187960</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-170815</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-187960</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-170815</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both"/>
        <w:ind w:right="580" w:firstLine="441"/>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Company had one client (Fidelity = 24.5%) that exceeded 10% of total revenues. For the three months ended March 31, 2025, the Company had the three clients (Fidelity = 12.9%, CGI = 11.9% and Populus = 11.7%) that each exceeded 10% of total revenues.</w:t>
      </w:r>
    </w:p>
    <w:p>
      <w:pPr>
        <w:spacing w:after="0" w:line="176"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The Company’s top ten clients represented approximately 60% and 56% of total revenues for the three months ended March 31, 2026 and 2025, respectively.</w:t>
      </w:r>
    </w:p>
    <w:p>
      <w:pPr>
        <w:spacing w:after="0" w:line="162"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revenue from external customers disaggregated by geography, based on the work location of our customers:</w:t>
      </w:r>
    </w:p>
    <w:p>
      <w:pPr>
        <w:spacing w:after="0" w:line="170"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w w:val="73"/>
              </w:rPr>
              <w:t>in</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180" w:type="dxa"/>
            <w:vAlign w:val="bottom"/>
            <w:vMerge w:val="continue"/>
          </w:tcPr>
          <w:p>
            <w:pPr>
              <w:spacing w:after="0"/>
              <w:rPr>
                <w:sz w:val="12"/>
                <w:szCs w:val="12"/>
                <w:color w:val="auto"/>
              </w:rPr>
            </w:pPr>
          </w:p>
        </w:tc>
        <w:tc>
          <w:tcPr>
            <w:tcW w:w="940" w:type="dxa"/>
            <w:vAlign w:val="bottom"/>
            <w:gridSpan w:val="2"/>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40,394</w:t>
            </w:r>
          </w:p>
        </w:tc>
        <w:tc>
          <w:tcPr>
            <w:tcW w:w="4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47,752</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India and Other</w:t>
            </w: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3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41,083</w:t>
            </w:r>
          </w:p>
        </w:tc>
        <w:tc>
          <w:tcPr>
            <w:tcW w:w="4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48,317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4940300</wp:posOffset>
            </wp:positionH>
            <wp:positionV relativeFrom="paragraph">
              <wp:posOffset>-170815</wp:posOffset>
            </wp:positionV>
            <wp:extent cx="514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-170815</wp:posOffset>
            </wp:positionV>
            <wp:extent cx="51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09" w:lineRule="exact"/>
        <w:rPr>
          <w:sz w:val="20"/>
          <w:szCs w:val="20"/>
          <w:color w:val="auto"/>
        </w:rPr>
      </w:pPr>
    </w:p>
    <w:p>
      <w:pPr>
        <w:ind w:left="440" w:hanging="436"/>
        <w:spacing w:after="0"/>
        <w:tabs>
          <w:tab w:leader="none" w:pos="4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net</w:t>
      </w:r>
    </w:p>
    <w:p>
      <w:pPr>
        <w:spacing w:after="0" w:line="121" w:lineRule="exact"/>
        <w:rPr>
          <w:sz w:val="20"/>
          <w:szCs w:val="20"/>
          <w:color w:val="auto"/>
        </w:rPr>
      </w:pPr>
    </w:p>
    <w:p>
      <w:pPr>
        <w:ind w:right="200" w:firstLine="441"/>
        <w:spacing w:after="0" w:line="261" w:lineRule="auto"/>
        <w:rPr>
          <w:sz w:val="20"/>
          <w:szCs w:val="20"/>
          <w:color w:val="auto"/>
        </w:rPr>
      </w:pPr>
      <w:r>
        <w:rPr>
          <w:rFonts w:ascii="Times New Roman" w:cs="Times New Roman" w:eastAsia="Times New Roman" w:hAnsi="Times New Roman"/>
          <w:sz w:val="18"/>
          <w:szCs w:val="18"/>
          <w:color w:val="auto"/>
        </w:rPr>
        <w:t>Goodwill is allocated to the Company’s reporting units within its Talent and Data &amp; AI segments. In connection with the Company’s adoption of its revised segment reporting structure effective January 1, 2026, goodwill and identifiable intangible assets were reassigned to the Company’s reporting units using a relative fair value approach. The reassignment did not impact the Company’s total consolidated goodwill or intangible asset balances.</w:t>
      </w:r>
    </w:p>
    <w:p>
      <w:pPr>
        <w:spacing w:after="0" w:line="72"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Goodwill associated with the Talent segment relates to the Company’s 2015 acquisition of Hudson Global Resources Management’s U.S. IT staffing business. Goodwill associated with the Data &amp; AI segment includes amounts related to the Company’s acquisitions of the services division of InfoTrellis in 2017 and AmberLeaf in 2020, as well as a portion of goodwill originally arising from the Company’s 2015 acquisition of Hudson Global Resources Management’s U.S. IT staffing business that was reallocated in connection with the segment realignment.</w:t>
      </w:r>
    </w:p>
    <w:p>
      <w:pPr>
        <w:spacing w:after="0" w:line="75"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The Company recorded goodwill impairment charges of $5.3 million in 2023 and $9.7 million in 2018 related to its Data &amp; AI segment. These impairments were primarily attributable to declines in revenue levels and lower projected future revenues.</w:t>
      </w:r>
    </w:p>
    <w:p>
      <w:pPr>
        <w:spacing w:after="0" w:line="162"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A continued decline in operating performance or adverse changes in market conditions affecting the Company’s Talent segment could adversely affect the estimated fair value of the related reporting unit. If such trends persist, there is a risk that a goodwill impairment charge may be required in a future reporting period.</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amounts of goodwill by operating segment for the periods ended March 31, 2026 and December 31, 2025 is as follows:</w:t>
      </w:r>
    </w:p>
    <w:p>
      <w:pPr>
        <w:spacing w:after="0" w:line="170"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7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73"/>
        </w:trPr>
        <w:tc>
          <w:tcPr>
            <w:tcW w:w="2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42"/>
        </w:trPr>
        <w:tc>
          <w:tcPr>
            <w:tcW w:w="2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2120" w:type="dxa"/>
            <w:vAlign w:val="bottom"/>
            <w:gridSpan w:val="3"/>
          </w:tcPr>
          <w:p>
            <w:pPr>
              <w:jc w:val="center"/>
              <w:ind w:right="1496"/>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Talent:</w:t>
            </w: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740" w:type="dxa"/>
            <w:vAlign w:val="bottom"/>
            <w:tcBorders>
              <w:right w:val="single" w:sz="8" w:color="CFF0FC"/>
            </w:tcBorders>
            <w:shd w:val="clear" w:color="auto" w:fill="CFF0FC"/>
          </w:tcPr>
          <w:p>
            <w:pPr>
              <w:spacing w:after="0"/>
              <w:rPr>
                <w:sz w:val="18"/>
                <w:szCs w:val="18"/>
                <w:color w:val="auto"/>
              </w:rPr>
            </w:pPr>
          </w:p>
        </w:tc>
      </w:tr>
      <w:tr>
        <w:trPr>
          <w:trHeight w:val="216"/>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balance</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180" w:type="dxa"/>
            <w:vAlign w:val="bottom"/>
          </w:tcPr>
          <w:p>
            <w:pPr>
              <w:spacing w:after="0"/>
              <w:rPr>
                <w:sz w:val="18"/>
                <w:szCs w:val="18"/>
                <w:color w:val="auto"/>
              </w:rPr>
            </w:pPr>
          </w:p>
        </w:tc>
        <w:tc>
          <w:tcPr>
            <w:tcW w:w="2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w:t>
            </w:r>
          </w:p>
        </w:tc>
      </w:tr>
      <w:tr>
        <w:trPr>
          <w:trHeight w:val="216"/>
        </w:trPr>
        <w:tc>
          <w:tcPr>
            <w:tcW w:w="2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Goodwill recorded</w:t>
            </w: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FF0FC"/>
            </w:tcBorders>
            <w:shd w:val="clear" w:color="auto" w:fill="CFF0FC"/>
          </w:tcPr>
          <w:p>
            <w:pPr>
              <w:spacing w:after="0"/>
              <w:rPr>
                <w:sz w:val="18"/>
                <w:szCs w:val="18"/>
                <w:color w:val="auto"/>
              </w:rPr>
            </w:pPr>
          </w:p>
        </w:tc>
        <w:tc>
          <w:tcPr>
            <w:tcW w:w="1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2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180" w:type="dxa"/>
            <w:vAlign w:val="bottom"/>
            <w:shd w:val="clear" w:color="auto" w:fill="CFF0FC"/>
          </w:tcPr>
          <w:p>
            <w:pPr>
              <w:spacing w:after="0"/>
              <w:rPr>
                <w:sz w:val="21"/>
                <w:szCs w:val="21"/>
                <w:color w:val="auto"/>
              </w:rPr>
            </w:pPr>
          </w:p>
        </w:tc>
        <w:tc>
          <w:tcPr>
            <w:tcW w:w="200" w:type="dxa"/>
            <w:vAlign w:val="bottom"/>
            <w:tcBorders>
              <w:left w:val="single" w:sz="8" w:color="CFF0FC"/>
            </w:tcBorders>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5,393</w:t>
            </w:r>
          </w:p>
        </w:tc>
      </w:tr>
      <w:tr>
        <w:trPr>
          <w:trHeight w:val="347"/>
        </w:trPr>
        <w:tc>
          <w:tcPr>
            <w:tcW w:w="2200" w:type="dxa"/>
            <w:vAlign w:val="bottom"/>
            <w:tcBorders>
              <w:top w:val="single" w:sz="8" w:color="CFF0FC"/>
            </w:tcBorders>
          </w:tcPr>
          <w:p>
            <w:pPr>
              <w:spacing w:after="0"/>
              <w:rPr>
                <w:sz w:val="24"/>
                <w:szCs w:val="24"/>
                <w:color w:val="auto"/>
              </w:rPr>
            </w:pPr>
          </w:p>
        </w:tc>
        <w:tc>
          <w:tcPr>
            <w:tcW w:w="6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73"/>
        </w:trPr>
        <w:tc>
          <w:tcPr>
            <w:tcW w:w="2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42"/>
        </w:trPr>
        <w:tc>
          <w:tcPr>
            <w:tcW w:w="2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2120" w:type="dxa"/>
            <w:vAlign w:val="bottom"/>
            <w:gridSpan w:val="3"/>
          </w:tcPr>
          <w:p>
            <w:pPr>
              <w:jc w:val="center"/>
              <w:ind w:right="1436"/>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Data &amp; AI:</w:t>
            </w: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740" w:type="dxa"/>
            <w:vAlign w:val="bottom"/>
            <w:tcBorders>
              <w:right w:val="single" w:sz="8" w:color="CFF0FC"/>
            </w:tcBorders>
            <w:shd w:val="clear" w:color="auto" w:fill="CFF0FC"/>
          </w:tcPr>
          <w:p>
            <w:pPr>
              <w:spacing w:after="0"/>
              <w:rPr>
                <w:sz w:val="18"/>
                <w:szCs w:val="18"/>
                <w:color w:val="auto"/>
              </w:rPr>
            </w:pPr>
          </w:p>
        </w:tc>
      </w:tr>
      <w:tr>
        <w:trPr>
          <w:trHeight w:val="216"/>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balance</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21,817</w:t>
            </w:r>
          </w:p>
        </w:tc>
        <w:tc>
          <w:tcPr>
            <w:tcW w:w="180" w:type="dxa"/>
            <w:vAlign w:val="bottom"/>
          </w:tcPr>
          <w:p>
            <w:pPr>
              <w:spacing w:after="0"/>
              <w:rPr>
                <w:sz w:val="18"/>
                <w:szCs w:val="18"/>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21,817</w:t>
            </w:r>
          </w:p>
        </w:tc>
      </w:tr>
      <w:tr>
        <w:trPr>
          <w:trHeight w:val="216"/>
        </w:trPr>
        <w:tc>
          <w:tcPr>
            <w:tcW w:w="2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Goodwill recorded</w:t>
            </w: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FF0FC"/>
            </w:tcBorders>
            <w:shd w:val="clear" w:color="auto" w:fill="CFF0FC"/>
          </w:tcPr>
          <w:p>
            <w:pPr>
              <w:spacing w:after="0"/>
              <w:rPr>
                <w:sz w:val="18"/>
                <w:szCs w:val="18"/>
                <w:color w:val="auto"/>
              </w:rPr>
            </w:pPr>
          </w:p>
        </w:tc>
        <w:tc>
          <w:tcPr>
            <w:tcW w:w="1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21,817</w:t>
            </w:r>
          </w:p>
        </w:tc>
        <w:tc>
          <w:tcPr>
            <w:tcW w:w="180" w:type="dxa"/>
            <w:vAlign w:val="bottom"/>
            <w:shd w:val="clear" w:color="auto" w:fill="CFF0FC"/>
          </w:tcPr>
          <w:p>
            <w:pPr>
              <w:spacing w:after="0"/>
              <w:rPr>
                <w:sz w:val="19"/>
                <w:szCs w:val="19"/>
                <w:color w:val="auto"/>
              </w:rPr>
            </w:pPr>
          </w:p>
        </w:tc>
        <w:tc>
          <w:tcPr>
            <w:tcW w:w="200" w:type="dxa"/>
            <w:vAlign w:val="bottom"/>
            <w:tcBorders>
              <w:lef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21,817</w:t>
            </w:r>
          </w:p>
        </w:tc>
      </w:tr>
      <w:tr>
        <w:trPr>
          <w:trHeight w:val="20"/>
        </w:trPr>
        <w:tc>
          <w:tcPr>
            <w:tcW w:w="22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1740" w:type="dxa"/>
            <w:vAlign w:val="bottom"/>
            <w:tcBorders>
              <w:top w:val="single" w:sz="8" w:color="auto"/>
              <w:right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3860165</wp:posOffset>
            </wp:positionH>
            <wp:positionV relativeFrom="paragraph">
              <wp:posOffset>-1191260</wp:posOffset>
            </wp:positionV>
            <wp:extent cx="431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-1174115</wp:posOffset>
            </wp:positionV>
            <wp:extent cx="431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-1191260</wp:posOffset>
            </wp:positionV>
            <wp:extent cx="431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-1174115</wp:posOffset>
            </wp:positionV>
            <wp:extent cx="431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-25400</wp:posOffset>
            </wp:positionV>
            <wp:extent cx="431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-8255</wp:posOffset>
            </wp:positionV>
            <wp:extent cx="431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-25400</wp:posOffset>
            </wp:positionV>
            <wp:extent cx="431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-8255</wp:posOffset>
            </wp:positionV>
            <wp:extent cx="431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Company is amortizing the identifiable intangible assets on a straight-line basis over estimated average lives ranging from 3 to 12 years. Identifiable intangible assets were comprised of the following as of March 31, 2026 and December 31, 2025:</w:t>
      </w:r>
    </w:p>
    <w:p>
      <w:pPr>
        <w:spacing w:after="0" w:line="182" w:lineRule="exact"/>
        <w:rPr>
          <w:sz w:val="20"/>
          <w:szCs w:val="20"/>
          <w:color w:val="auto"/>
        </w:rPr>
      </w:pPr>
    </w:p>
    <w:tbl>
      <w:tblPr>
        <w:tblLayout w:type="fixed"/>
        <w:tblInd w:w="48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20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Accumulative</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80" w:type="dxa"/>
            <w:vAlign w:val="bottom"/>
            <w:vMerge w:val="restart"/>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Period (In</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8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Talent:</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Client relationships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Covenant-not-to-compete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Trade name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Data &amp; AI:</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Client relationships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Covenant-not-to-compete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Trade name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Technology</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20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Accumulative</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80" w:type="dxa"/>
            <w:vAlign w:val="bottom"/>
            <w:vMerge w:val="restart"/>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Period (In</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8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Talent:</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Client relationships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Covenant-not-to-compete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Trade name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Data &amp; AI:</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Client relationships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Covenant-not-to-compete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Trade name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Technology</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080" w:type="dxa"/>
            <w:vAlign w:val="bottom"/>
          </w:tcPr>
          <w:p>
            <w:pPr>
              <w:spacing w:after="0"/>
              <w:rPr>
                <w:sz w:val="18"/>
                <w:szCs w:val="18"/>
                <w:color w:val="auto"/>
              </w:rPr>
            </w:pP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-2125345</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-2125345</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5805805</wp:posOffset>
            </wp:positionH>
            <wp:positionV relativeFrom="paragraph">
              <wp:posOffset>-2125345</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4185920</wp:posOffset>
            </wp:positionH>
            <wp:positionV relativeFrom="paragraph">
              <wp:posOffset>-170815</wp:posOffset>
            </wp:positionV>
            <wp:extent cx="514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-170815</wp:posOffset>
            </wp:positionV>
            <wp:extent cx="51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5805805</wp:posOffset>
            </wp:positionH>
            <wp:positionV relativeFrom="paragraph">
              <wp:posOffset>-170815</wp:posOffset>
            </wp:positionV>
            <wp:extent cx="603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Amortization expense for the three months ended March 31, 2026 and 2025 totaled $603,000 and $650,000 respectively, and is included in selling, general and administrative expenses in the Consolidated Statement of Operations.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The estimated aggregate amortization expense for intangible assets for the years ending December 31, 2026 through 2030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42"/>
        </w:trPr>
        <w:tc>
          <w:tcPr>
            <w:tcW w:w="3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2028</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2029</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2030</w:t>
            </w:r>
          </w:p>
        </w:tc>
      </w:tr>
      <w:tr>
        <w:trPr>
          <w:trHeight w:val="124"/>
        </w:trPr>
        <w:tc>
          <w:tcPr>
            <w:tcW w:w="30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00" w:type="dxa"/>
            <w:vAlign w:val="bottom"/>
            <w:gridSpan w:val="5"/>
          </w:tcPr>
          <w:p>
            <w:pPr>
              <w:jc w:val="right"/>
              <w:ind w:right="140"/>
              <w:spacing w:after="0" w:line="124" w:lineRule="exact"/>
              <w:rPr>
                <w:sz w:val="20"/>
                <w:szCs w:val="20"/>
                <w:color w:val="auto"/>
              </w:rPr>
            </w:pPr>
            <w:r>
              <w:rPr>
                <w:rFonts w:ascii="Times New Roman" w:cs="Times New Roman" w:eastAsia="Times New Roman" w:hAnsi="Times New Roman"/>
                <w:sz w:val="14"/>
                <w:szCs w:val="14"/>
                <w:b w:val="1"/>
                <w:bCs w:val="1"/>
                <w:color w:val="auto"/>
                <w:w w:val="93"/>
              </w:rPr>
              <w:t>(Amounts in thousands)</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bl>
    <w:p>
      <w:pPr>
        <w:spacing w:after="0" w:line="329" w:lineRule="exact"/>
        <w:rPr>
          <w:sz w:val="20"/>
          <w:szCs w:val="20"/>
          <w:color w:val="auto"/>
        </w:rPr>
      </w:pPr>
    </w:p>
    <w:p>
      <w:pPr>
        <w:ind w:left="440" w:hanging="436"/>
        <w:spacing w:after="0"/>
        <w:tabs>
          <w:tab w:leader="none" w:pos="4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The Company rents certain office facilities under noncancelable operating leases. As of March 31, 2026, approximately 94,000 square feet of office space is utilized for our sales and recruiting offices, delivery centers, and corporate headquarters. All of our leases are classified as operating leases. The average initial lease term is 3.6 years. Several leases have an option to renew, at our sole discretion, for an additional term. Our present lease terms range from less than one year to 3.5 years with a weighted average of 2.1 years. Leases with an initial term of twelve months or less are not recorded on the balance sheet.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balance sheet classification of the lease assets and related lease liabilities:</w:t>
      </w:r>
    </w:p>
    <w:p>
      <w:pPr>
        <w:spacing w:after="0" w:line="233"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right"/>
              <w:ind w:right="636"/>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operating lease right-of-use assets</w:t>
            </w: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3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4425950</wp:posOffset>
            </wp:positionH>
            <wp:positionV relativeFrom="paragraph">
              <wp:posOffset>-170815</wp:posOffset>
            </wp:positionV>
            <wp:extent cx="431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-170815</wp:posOffset>
            </wp:positionV>
            <wp:extent cx="431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Future minimum rental payments for office facilities and equipment under the Company’s noncancelable operating leases are as follows:</w:t>
      </w:r>
    </w:p>
    <w:p>
      <w:pPr>
        <w:spacing w:after="0" w:line="170" w:lineRule="exact"/>
        <w:rPr>
          <w:sz w:val="20"/>
          <w:szCs w:val="20"/>
          <w:color w:val="auto"/>
        </w:rPr>
      </w:pPr>
    </w:p>
    <w:tbl>
      <w:tblPr>
        <w:tblLayout w:type="fixed"/>
        <w:tblInd w:w="194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 as of</w:t>
            </w:r>
          </w:p>
        </w:tc>
      </w:tr>
      <w:tr>
        <w:trPr>
          <w:trHeight w:val="173"/>
        </w:trPr>
        <w:tc>
          <w:tcPr>
            <w:tcW w:w="474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142"/>
        </w:trPr>
        <w:tc>
          <w:tcPr>
            <w:tcW w:w="4740" w:type="dxa"/>
            <w:vAlign w:val="bottom"/>
          </w:tcPr>
          <w:p>
            <w:pPr>
              <w:spacing w:after="0"/>
              <w:rPr>
                <w:sz w:val="12"/>
                <w:szCs w:val="12"/>
                <w:color w:val="auto"/>
              </w:rPr>
            </w:pPr>
          </w:p>
        </w:tc>
        <w:tc>
          <w:tcPr>
            <w:tcW w:w="10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(for remainder of year)</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18"/>
                <w:szCs w:val="18"/>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r>
      <w:tr>
        <w:trPr>
          <w:trHeight w:val="250"/>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4888865</wp:posOffset>
            </wp:positionH>
            <wp:positionV relativeFrom="paragraph">
              <wp:posOffset>-24765</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-7620</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weighted average discount rate used to calculate the present value of future lease payments was 5.8%.</w:t>
      </w:r>
    </w:p>
    <w:p>
      <w:pPr>
        <w:spacing w:after="0" w:line="225" w:lineRule="exact"/>
        <w:rPr>
          <w:sz w:val="20"/>
          <w:szCs w:val="20"/>
          <w:color w:val="auto"/>
        </w:rPr>
      </w:pPr>
    </w:p>
    <w:p>
      <w:pPr>
        <w:ind w:right="400" w:firstLine="441"/>
        <w:spacing w:after="0" w:line="282" w:lineRule="auto"/>
        <w:rPr>
          <w:sz w:val="20"/>
          <w:szCs w:val="20"/>
          <w:color w:val="auto"/>
        </w:rPr>
      </w:pPr>
      <w:r>
        <w:rPr>
          <w:rFonts w:ascii="Times New Roman" w:cs="Times New Roman" w:eastAsia="Times New Roman" w:hAnsi="Times New Roman"/>
          <w:sz w:val="18"/>
          <w:szCs w:val="18"/>
          <w:color w:val="auto"/>
        </w:rPr>
        <w:t>We recognize rent expense for these leases on a straight-line basis over the lease term. Rental expense for the three months ended March 31, 2026 and 2025 totaled $0.4 million in each period.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cash paid for lease liabilities for the three months ended March 31, 2026 and 2025 totaled $0.4 million in each period.</w:t>
      </w:r>
    </w:p>
    <w:p>
      <w:pPr>
        <w:spacing w:after="0" w:line="225"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The Company entered into two new lease arrangements for which the lease commencement dates had not occurred as of March 31, 2026, as discussed below:</w:t>
      </w:r>
    </w:p>
    <w:p>
      <w:pPr>
        <w:spacing w:after="0" w:line="54"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On March 5, 2026, the Company entered into a lease agreement (the “Lease”) with EPC-CW15, LLC (the “Landlord”) for approximately 5,895 square feet of office space located at 3300 Olympus Boulevard, Suite 560, Dallas, Texas 75019 (the “Property”). The Lease is expected to commence on August 24, 2026 (or such later date as specified in the Lease) and has an initial term of five years following a five-month rent abatement period, unless earlier terminated in accordance with its terms. The Company has the option to renew the Lease for one additional five-year period.</w:t>
      </w:r>
    </w:p>
    <w:p>
      <w:pPr>
        <w:sectPr>
          <w:pgSz w:w="11900" w:h="16838" w:orient="portrait"/>
          <w:cols w:equalWidth="0" w:num="1">
            <w:col w:w="9700"/>
          </w:cols>
          <w:pgMar w:left="1080" w:top="117" w:right="1119" w:bottom="1440" w:gutter="0" w:footer="0" w:header="0"/>
        </w:sectPr>
      </w:pP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60" w:firstLine="441"/>
        <w:spacing w:after="0" w:line="258" w:lineRule="auto"/>
        <w:rPr>
          <w:sz w:val="20"/>
          <w:szCs w:val="20"/>
          <w:color w:val="auto"/>
        </w:rPr>
      </w:pPr>
      <w:r>
        <w:rPr>
          <w:rFonts w:ascii="Times New Roman" w:cs="Times New Roman" w:eastAsia="Times New Roman" w:hAnsi="Times New Roman"/>
          <w:sz w:val="18"/>
          <w:szCs w:val="18"/>
          <w:color w:val="auto"/>
        </w:rPr>
        <w:t>In addition to the Lease described above, on December 16, 2025, the Company entered into a managed office space service agreement with Symbyont Asset Management Private Limited for office premises in Bengaluru, India, comprising 96 seats and an initial term of 36 months. As lease commencement was contingent upon the premises being made available for the Company's intended use, and fit-outs and formal handover were completed in April 2026, the Company determined April 1, 2026 to be the lease commencement date under applicable accounting guidance.</w:t>
      </w:r>
    </w:p>
    <w:p>
      <w:pPr>
        <w:spacing w:after="0" w:line="287" w:lineRule="exact"/>
        <w:rPr>
          <w:sz w:val="20"/>
          <w:szCs w:val="20"/>
          <w:color w:val="auto"/>
        </w:rPr>
      </w:pPr>
    </w:p>
    <w:p>
      <w:pPr>
        <w:ind w:left="440" w:hanging="436"/>
        <w:spacing w:after="0"/>
        <w:tabs>
          <w:tab w:leader="none" w:pos="4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the Company is involved in a number of lawsuits and administrative proceedings. While uncertainties are inherent in the final outcome of these matters, the Company’s management believes, after consultation with legal counsel, that the disposition of these proceedings should not have a material adverse effect on our financial position, results of operations or cash flows.</w:t>
      </w:r>
    </w:p>
    <w:p>
      <w:pPr>
        <w:spacing w:after="0" w:line="284" w:lineRule="exact"/>
        <w:rPr>
          <w:sz w:val="20"/>
          <w:szCs w:val="20"/>
          <w:color w:val="auto"/>
        </w:rPr>
      </w:pPr>
    </w:p>
    <w:p>
      <w:pPr>
        <w:ind w:left="440" w:hanging="436"/>
        <w:spacing w:after="0"/>
        <w:tabs>
          <w:tab w:leader="none" w:pos="4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21"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The Company provides an Employee Retirement Savings Plan (the “Retirement Plan”) under Section 401(k) of the Internal Revenue Code of 1986, as amended (the “Code”), that covers substantially all U.S. based salaried and W-2 hourly employees. Employees may contribute a percentage of eligible compensation to the Retirement Plan, subject to certain limits under the Code. The Company did not provide for any matching contributions for the three months ended March 31, 2026 and 2025.</w:t>
      </w:r>
    </w:p>
    <w:p>
      <w:pPr>
        <w:spacing w:after="0" w:line="284" w:lineRule="exact"/>
        <w:rPr>
          <w:sz w:val="20"/>
          <w:szCs w:val="20"/>
          <w:color w:val="auto"/>
        </w:rPr>
      </w:pPr>
    </w:p>
    <w:p>
      <w:pPr>
        <w:ind w:left="440" w:hanging="436"/>
        <w:spacing w:after="0"/>
        <w:tabs>
          <w:tab w:leader="none" w:pos="4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140" w:firstLine="441"/>
        <w:spacing w:after="0" w:line="256" w:lineRule="auto"/>
        <w:rPr>
          <w:sz w:val="20"/>
          <w:szCs w:val="20"/>
          <w:color w:val="auto"/>
        </w:rPr>
      </w:pPr>
      <w:r>
        <w:rPr>
          <w:rFonts w:ascii="Times New Roman" w:cs="Times New Roman" w:eastAsia="Times New Roman" w:hAnsi="Times New Roman"/>
          <w:sz w:val="18"/>
          <w:szCs w:val="18"/>
          <w:color w:val="auto"/>
        </w:rPr>
        <w:t>In 2008, the Company adopted a Stock Incentive Plan. This stock incentive plan was amended and restated effective as of May 14, 2024 and further amended on May 14, 2025 (as amended from time to time, the “Plan”). The Plan provides that up to 6,200,000 shares of the Company’s common stock, par value $0.01 per share (“Common Stock”) shall be allocated for issuance to directors, officers, employees and consultants of the Company. Grants under the Plan may be made in the form of stock options, stock appreciation rights, performance share awards, restricted stock awards or stock awards. As of March 31, 2026, there were 784,000 shares available for grant under the Plan.</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equity awards granted during the three months ended March 31, 2026 and 2025:</w:t>
      </w:r>
    </w:p>
    <w:p>
      <w:pPr>
        <w:spacing w:after="0" w:line="327"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8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18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38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8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89"/>
        </w:trPr>
        <w:tc>
          <w:tcPr>
            <w:tcW w:w="5000" w:type="dxa"/>
            <w:vAlign w:val="bottom"/>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Equity Awards Granted</w:t>
            </w:r>
          </w:p>
        </w:tc>
        <w:tc>
          <w:tcPr>
            <w:tcW w:w="13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Restricted stock (shares)</w:t>
            </w:r>
          </w:p>
        </w:tc>
        <w:tc>
          <w:tcPr>
            <w:tcW w:w="3140" w:type="dxa"/>
            <w:vAlign w:val="bottom"/>
            <w:tcBorders>
              <w:top w:val="single" w:sz="8" w:color="CFF0FC"/>
            </w:tcBorders>
          </w:tcPr>
          <w:p>
            <w:pPr>
              <w:spacing w:after="0"/>
              <w:rPr>
                <w:sz w:val="18"/>
                <w:szCs w:val="18"/>
                <w:color w:val="auto"/>
              </w:rPr>
            </w:pPr>
          </w:p>
        </w:tc>
        <w:tc>
          <w:tcPr>
            <w:tcW w:w="1380" w:type="dxa"/>
            <w:vAlign w:val="bottom"/>
            <w:tcBorders>
              <w:top w:val="single" w:sz="8" w:color="CFF0FC"/>
            </w:tcBorders>
          </w:tcPr>
          <w:p>
            <w:pPr>
              <w:spacing w:after="0"/>
              <w:rPr>
                <w:sz w:val="18"/>
                <w:szCs w:val="18"/>
                <w:color w:val="auto"/>
              </w:rPr>
            </w:pPr>
          </w:p>
        </w:tc>
        <w:tc>
          <w:tcPr>
            <w:tcW w:w="7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132,735</w:t>
            </w:r>
          </w:p>
        </w:tc>
        <w:tc>
          <w:tcPr>
            <w:tcW w:w="340" w:type="dxa"/>
            <w:vAlign w:val="bottom"/>
            <w:tcBorders>
              <w:top w:val="single" w:sz="8" w:color="CFF0FC"/>
            </w:tcBorders>
          </w:tcPr>
          <w:p>
            <w:pPr>
              <w:spacing w:after="0"/>
              <w:rPr>
                <w:sz w:val="18"/>
                <w:szCs w:val="18"/>
                <w:color w:val="auto"/>
              </w:rPr>
            </w:pPr>
          </w:p>
        </w:tc>
        <w:tc>
          <w:tcPr>
            <w:tcW w:w="500" w:type="dxa"/>
            <w:vAlign w:val="bottom"/>
            <w:tcBorders>
              <w:top w:val="single" w:sz="8" w:color="CFF0FC"/>
            </w:tcBorders>
          </w:tcPr>
          <w:p>
            <w:pPr>
              <w:spacing w:after="0"/>
              <w:rPr>
                <w:sz w:val="18"/>
                <w:szCs w:val="18"/>
                <w:color w:val="auto"/>
              </w:rPr>
            </w:pPr>
          </w:p>
        </w:tc>
        <w:tc>
          <w:tcPr>
            <w:tcW w:w="16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22,140</w:t>
            </w:r>
          </w:p>
        </w:tc>
        <w:tc>
          <w:tcPr>
            <w:tcW w:w="100" w:type="dxa"/>
            <w:vAlign w:val="bottom"/>
            <w:tcBorders>
              <w:top w:val="single" w:sz="8" w:color="CFF0FC"/>
            </w:tcBorders>
          </w:tcPr>
          <w:p>
            <w:pPr>
              <w:spacing w:after="0"/>
              <w:rPr>
                <w:sz w:val="18"/>
                <w:szCs w:val="18"/>
                <w:color w:val="auto"/>
              </w:rPr>
            </w:pPr>
          </w:p>
        </w:tc>
      </w:tr>
      <w:tr>
        <w:trPr>
          <w:trHeight w:val="216"/>
        </w:trPr>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(shares)</w:t>
            </w:r>
          </w:p>
        </w:tc>
        <w:tc>
          <w:tcPr>
            <w:tcW w:w="1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702,358</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exercise price (options)</w:t>
            </w:r>
          </w:p>
        </w:tc>
        <w:tc>
          <w:tcPr>
            <w:tcW w:w="1380" w:type="dxa"/>
            <w:vAlign w:val="bottom"/>
          </w:tcPr>
          <w:p>
            <w:pPr>
              <w:jc w:val="right"/>
              <w:ind w:right="122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18"/>
                <w:szCs w:val="18"/>
                <w:color w:val="auto"/>
              </w:rPr>
            </w:pPr>
          </w:p>
        </w:tc>
      </w:tr>
      <w:tr>
        <w:trPr>
          <w:trHeight w:val="216"/>
        </w:trPr>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(RSUs)</w:t>
            </w:r>
          </w:p>
        </w:tc>
        <w:tc>
          <w:tcPr>
            <w:tcW w:w="1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37,953</w:t>
            </w:r>
          </w:p>
        </w:tc>
        <w:tc>
          <w:tcPr>
            <w:tcW w:w="3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90"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Of the restricted stock granted during the three months ended March 31, 2026, 100,314 shares vested immediately upon grant but are subject to restriction that prohibits disposal of these restricted shares until March 30, 2028, subject to immediate lapse of any restriction due to (i) separation from the Company for any reason, (ii) death, or (iii) disability. The remaining restricted stock awards vest one year from the date of grant. While ownership rights attach at the grant date, these shares are subject to transfer restrictions and do not become freely transferable until vesting. The 100,314 shares issued during the period were in settlement of previously accrued cash compensation and did not result in additional stock-based compensation expense.</w:t>
      </w:r>
    </w:p>
    <w:p>
      <w:pPr>
        <w:spacing w:after="0" w:line="187" w:lineRule="exact"/>
        <w:rPr>
          <w:sz w:val="20"/>
          <w:szCs w:val="20"/>
          <w:color w:val="auto"/>
        </w:rPr>
      </w:pPr>
    </w:p>
    <w:p>
      <w:pPr>
        <w:jc w:val="both"/>
        <w:ind w:right="240" w:firstLine="441"/>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granted 37,953 restricted stock units ("RSUs"), which vest one year from the date of grant. These awards were granted in anticipation of shareholder approval of an amendment to the Company's equity incentive plan, which was subsequently approved at the 2026 annual meeting of shareholders. Accordingly, the Company is recognizing compensation expense for these awards over the vesting period.</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during the three months ended March 31, 2026 and 2025:</w:t>
      </w:r>
    </w:p>
    <w:p>
      <w:pPr>
        <w:spacing w:after="0" w:line="327"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8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000" w:type="dxa"/>
            <w:vAlign w:val="bottom"/>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8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8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50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895,000</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720"/>
          </w:cols>
          <w:pgMar w:left="1080" w:top="117" w:right="109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included in selling, general and administrative expenses in the Condensed Consolidated Statements of Operations.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shares issued during the three months ended March 31, 2026 and 2025:</w:t>
      </w:r>
    </w:p>
    <w:p>
      <w:pPr>
        <w:spacing w:after="0" w:line="327"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8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10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42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160" w:type="dxa"/>
            <w:vAlign w:val="bottom"/>
            <w:tcBorders>
              <w:top w:val="single" w:sz="8" w:color="auto"/>
              <w:bottom w:val="single" w:sz="8" w:color="auto"/>
            </w:tcBorders>
          </w:tcPr>
          <w:p>
            <w:pPr>
              <w:jc w:val="right"/>
              <w:ind w:right="8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90"/>
        </w:trPr>
        <w:tc>
          <w:tcPr>
            <w:tcW w:w="106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Shares Issued</w:t>
            </w:r>
          </w:p>
        </w:tc>
        <w:tc>
          <w:tcPr>
            <w:tcW w:w="5340" w:type="dxa"/>
            <w:vAlign w:val="bottom"/>
            <w:tcBorders>
              <w:bottom w:val="single" w:sz="8" w:color="CFF0FC"/>
            </w:tcBorders>
            <w:gridSpan w:val="2"/>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1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6"/>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stock vesting</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116,919</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17,921</w:t>
            </w:r>
          </w:p>
        </w:tc>
        <w:tc>
          <w:tcPr>
            <w:tcW w:w="100" w:type="dxa"/>
            <w:vAlign w:val="bottom"/>
          </w:tcPr>
          <w:p>
            <w:pPr>
              <w:spacing w:after="0"/>
              <w:rPr>
                <w:sz w:val="18"/>
                <w:szCs w:val="18"/>
                <w:color w:val="auto"/>
              </w:rPr>
            </w:pPr>
          </w:p>
        </w:tc>
      </w:tr>
      <w:tr>
        <w:trPr>
          <w:trHeight w:val="216"/>
        </w:trPr>
        <w:tc>
          <w:tcPr>
            <w:tcW w:w="4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14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188,112</w:t>
            </w:r>
          </w:p>
        </w:tc>
        <w:tc>
          <w:tcPr>
            <w:tcW w:w="280" w:type="dxa"/>
            <w:vAlign w:val="bottom"/>
            <w:tcBorders>
              <w:bottom w:val="single" w:sz="8" w:color="CFF0FC"/>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shares issued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305,031</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17,921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4554220</wp:posOffset>
            </wp:positionH>
            <wp:positionV relativeFrom="paragraph">
              <wp:posOffset>-156845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-156845</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9"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In October 2018, the Board of Directors of the Company approved the Mastech Digital, Inc. 2019 Employee Stock Purchase Plan (the “Employee Stock Purchase Plan”). The Employee Stock Purchase Plan is intended to meet the requirements of Section 423 of the Code and was approved by the Company’s shareholders to be qualified. On May 15, 2019, the Company’s shareholders approved the Employee Stock Purchase Plan. Under the Employee Stock Purchase Plan, 600,000 shares of Common Stock (subject to adjustment upon certain changes in the Company’s capitalization) are available for purchase by eligible employees who become participants in the Employee Stock Purchase Plan. The purchase price per share is 85% of the lesser of (i) the fair market value per share of Common Stock on the first day of the offering period, or (ii) the fair market value per share of Common Stock on the last day of the offering period.</w:t>
      </w:r>
    </w:p>
    <w:p>
      <w:pPr>
        <w:spacing w:after="0" w:line="192" w:lineRule="exact"/>
        <w:rPr>
          <w:sz w:val="20"/>
          <w:szCs w:val="20"/>
          <w:color w:val="auto"/>
        </w:rPr>
      </w:pPr>
    </w:p>
    <w:p>
      <w:pPr>
        <w:ind w:right="140" w:firstLine="441"/>
        <w:spacing w:after="0" w:line="254" w:lineRule="auto"/>
        <w:rPr>
          <w:sz w:val="20"/>
          <w:szCs w:val="20"/>
          <w:color w:val="auto"/>
        </w:rPr>
      </w:pPr>
      <w:r>
        <w:rPr>
          <w:rFonts w:ascii="Times New Roman" w:cs="Times New Roman" w:eastAsia="Times New Roman" w:hAnsi="Times New Roman"/>
          <w:sz w:val="18"/>
          <w:szCs w:val="18"/>
          <w:color w:val="auto"/>
        </w:rPr>
        <w:t>The Company’s eligible full-time employees are able to contribute up to 15% of their base compensation into the Employee Stock Purchase Plan, subject to an annual limit of $25,000 per person. Employees are able to purchase Company Common Stock at a 15% discount to the lower of the fair market value of the Company’s Common Stock on the initial or final trading dates of each six-month offering period. Offering periods begin on January 1 and July 1 of each year. The Company uses the Black-Scholes option pricing model to determine the fair value of Employee Stock Purchase Plan share-based payments. The fair value of the six-month “look-back” option in the Company’s Employee Stock Purchase Plan is estimated by adding the fair value of 15% of one share of stock to 85% of the fair value of an option on one share of stock. The Company utilized U.S. Treasury yields as of the grant date for its risk-free interest rate assumption, matching the Treasury yield terms to the six-month offering period. The Company utilized historical company data to develop its dividend yield and expected volatility assumptions.</w:t>
      </w:r>
    </w:p>
    <w:p>
      <w:pPr>
        <w:spacing w:after="0" w:line="188"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On February 16, 2026, the Company’s Board of Directors approved the termination of the Stock Purchase Plan. The termination will become effective on July 1, 2026, following completion of the current offering period ending June 30, 2026. Shares issuable under the current offering period will be issued in accordance with the terms of the plan, and no additional offering periods will commence thereafter.</w:t>
      </w:r>
    </w:p>
    <w:p>
      <w:pPr>
        <w:spacing w:after="0" w:line="180"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and 2025, there were no shares issued under the Employee Stock Purchase Plan. Stock-based compensation expense related to the Stock Purchase Plan for the three months ended March 31, 2026 and 2025 totaled $5,000 and $21,000, respectively, and is included in selling, general and administrative expenses in the Condensed Consolidated Statements of Operations. As of March 31, 2026, there were 416,945 shares available for purchases under the Employee Stock Purchase Plan.</w:t>
      </w:r>
    </w:p>
    <w:p>
      <w:pPr>
        <w:spacing w:after="0" w:line="287" w:lineRule="exact"/>
        <w:rPr>
          <w:sz w:val="20"/>
          <w:szCs w:val="20"/>
          <w:color w:val="auto"/>
        </w:rPr>
      </w:pPr>
    </w:p>
    <w:p>
      <w:pPr>
        <w:ind w:left="440" w:hanging="436"/>
        <w:spacing w:after="0"/>
        <w:tabs>
          <w:tab w:leader="none" w:pos="4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ind w:right="180" w:firstLine="441"/>
        <w:spacing w:after="0" w:line="254" w:lineRule="auto"/>
        <w:rPr>
          <w:sz w:val="20"/>
          <w:szCs w:val="20"/>
          <w:color w:val="auto"/>
        </w:rPr>
      </w:pPr>
      <w:r>
        <w:rPr>
          <w:rFonts w:ascii="Times New Roman" w:cs="Times New Roman" w:eastAsia="Times New Roman" w:hAnsi="Times New Roman"/>
          <w:sz w:val="18"/>
          <w:szCs w:val="18"/>
          <w:color w:val="auto"/>
        </w:rPr>
        <w:t>On July 13, 2017, the Company entered into a Credit Agreement (the “Credit Agreement”) with PNC Bank, as administrative agent, swing loan lender and issuing lender, PNC Capital Markets LLC, as sole lead arranger and sole book-runner, and certain financial institution parties thereto as lenders (the “Lenders”). The Credit Agreement, as amended, provides for a total aggregate commitment of $53.1 million, consisting of (i) a revolving credit facility (the “Revolver”) in an aggregate principal amount not to exceed $40 million and (ii) a $13.1 million term loan facility (the “Term Loan), as more fully described in Exhibit 10.1 to the Company’s Form 8-Ks filed with the SEC on July 19, 2017, April 25, 2018, October 7, 2020, Exhibit 10.2 to the Form 8-K/A filed with the SEC on January 4, 2022 and Exhibits 10.11 and 10.12 to the Company’s Form 10-K filed with the SEC on March 15, 2024. Additionally, the facility includes an accordion feature for additional borrowing of up to $20 million upon satisfaction of certain conditions.</w:t>
      </w:r>
    </w:p>
    <w:p>
      <w:pPr>
        <w:spacing w:after="0" w:line="188"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The Revolver expires in December 2026 and includes swing loan and letter of credit sub-limits in the aggregate amount not to exceed $6.0 million for swing loans and $5.0 million for letters of credit. Borrowings under the Revolver may be denominated in U.S. dollars or Canadian dollars. The maximum borrowings in U.S. dollars may not exceed the sum of 85% of eligible U.S. accounts receivable and 60% of eligible U.S. unbilled receivables, less a reserve amount established by the administrative agent. The maximum</w:t>
      </w:r>
    </w:p>
    <w:p>
      <w:pPr>
        <w:sectPr>
          <w:pgSz w:w="11900" w:h="16838" w:orient="portrait"/>
          <w:cols w:equalWidth="0" w:num="1">
            <w:col w:w="9720"/>
          </w:cols>
          <w:pgMar w:left="1080" w:top="117" w:right="109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borrowings in Canadian dollars may not exceed the lesser of (i) $10.0 million; and (ii) the sum of 85% of eligible Canadian receivables, plus 60% of eligible Canadian unbilled receivables, less a reserve amount established by the administrative agent.</w:t>
      </w:r>
    </w:p>
    <w:p>
      <w:pPr>
        <w:spacing w:after="0" w:line="162"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Amounts borrowed under the Term Loan were required to be repaid in consecutive quarterly installments of $1.1 million through and including the maturity date of October 1, 2024. In August 2022, the Company prepaid $7.6 million of the outstanding term loan with excess cash balances. The final term loan payment of $1.1 million was made on January 3, 2023, taking the outstanding balance to zero.</w:t>
      </w:r>
    </w:p>
    <w:p>
      <w:pPr>
        <w:spacing w:after="0" w:line="180"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Borrowings under the Revolver and the Term Loan, which may be made at the Company’s election, bear interest at either (a) the higher of PNC’s prime rate or the federal funds rate plus 0.50%, plus an applicable margin determined based upon the Company’s senior leverage ratio or (b) the Secured Overnight Financing Rate (“SOFR”), plus an applicable margin determined based upon the Company’s senior leverage ratio. The applicable margin on the base rate is between 0.50% and 1.25% on Revolver borrowings and between 1.75% and 2.50% on Term Loan borrowings. The applicable margin on the SOFR is between 1.50% and 2.25% on Revolver borrowings and between 2.75% and 3.50% on Term Loan borrowings. A 20 to 30-basis point per annum commitment fee on the unused portion of the Revolver is charged and due monthly in arrears. The applicable commitment fee is determined based upon the Company’s senior leverage ratio.</w:t>
      </w:r>
    </w:p>
    <w:p>
      <w:pPr>
        <w:spacing w:after="0" w:line="192"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The Company pledged substantially all of its assets in support of the Credit Agreement. The Credit Agreement contains standard financial covenants, including, but not limited to, covenants related to the Company’s senior leverage ratio and fixed charge ratio (as defined under the Credit Agreement) and limitations on liens, indebtedness, guarantees, contingent liabilities, loans and investments, distributions, leases, asset sales, stock repurchases and mergers and acquisitions. As of March 31, 2026, the Company was in compliance with all applicable provisions of the Credit Agreement.</w:t>
      </w:r>
    </w:p>
    <w:p>
      <w:pPr>
        <w:spacing w:after="0" w:line="183" w:lineRule="exact"/>
        <w:rPr>
          <w:sz w:val="20"/>
          <w:szCs w:val="20"/>
          <w:color w:val="auto"/>
        </w:rPr>
      </w:pPr>
    </w:p>
    <w:p>
      <w:pPr>
        <w:ind w:right="180" w:firstLine="441"/>
        <w:spacing w:after="0" w:line="258" w:lineRule="auto"/>
        <w:rPr>
          <w:sz w:val="20"/>
          <w:szCs w:val="20"/>
          <w:color w:val="auto"/>
        </w:rPr>
      </w:pPr>
      <w:r>
        <w:rPr>
          <w:rFonts w:ascii="Times New Roman" w:cs="Times New Roman" w:eastAsia="Times New Roman" w:hAnsi="Times New Roman"/>
          <w:sz w:val="18"/>
          <w:szCs w:val="18"/>
          <w:color w:val="auto"/>
        </w:rPr>
        <w:t>In connection with securing the commitments under the Credit Agreement and the April 20, 2018, October 1, 2020, December 29, 2021 and December 29, 2023 amendments to the Credit Agreement, the Company paid a commitment fee and incurred deferred financing costs totaling $1,039,000, which were capitalized and are being amortized as interest expense over the life of the Credit Facility. Deferred financing costs of $71,000 and $95,000 (net of amortization) as of March 31, 2026, and December 31, 2025, respectively, are presented as long-term assets in the Company’s Consolidated Balance Sheets.</w:t>
      </w:r>
    </w:p>
    <w:p>
      <w:pPr>
        <w:spacing w:after="0" w:line="183"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As of March 31, 2026, and December 31, 2025, the Company’s outstanding borrowings under the Revolver totaled zero dollars; and unused borrowing capacity available was approximately $21.3 million and $19.9 million, respectively. There were no outstanding borrowings under the Term Loan at March 31, 2026, and December 31, 2025. On May 9, 2024, the Company issued two standby Letters of Credit for $162,000 each from PNC Bank to a Vietnam client to secure certain performance and advance payment guarantees made to the client on an existing fixed price Data and Analytics Services assignment. As of March 21, 2026 the letters of credit expired without payment and will not be renewed.</w:t>
      </w:r>
    </w:p>
    <w:p>
      <w:pPr>
        <w:spacing w:after="0" w:line="291" w:lineRule="exact"/>
        <w:rPr>
          <w:sz w:val="20"/>
          <w:szCs w:val="20"/>
          <w:color w:val="auto"/>
        </w:rPr>
      </w:pPr>
    </w:p>
    <w:p>
      <w:pPr>
        <w:ind w:left="440" w:hanging="436"/>
        <w:spacing w:after="0"/>
        <w:tabs>
          <w:tab w:leader="none" w:pos="4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300" w:firstLine="441"/>
        <w:spacing w:after="0" w:line="282" w:lineRule="auto"/>
        <w:rPr>
          <w:sz w:val="20"/>
          <w:szCs w:val="20"/>
          <w:color w:val="auto"/>
        </w:rPr>
      </w:pPr>
      <w:r>
        <w:rPr>
          <w:rFonts w:ascii="Times New Roman" w:cs="Times New Roman" w:eastAsia="Times New Roman" w:hAnsi="Times New Roman"/>
          <w:sz w:val="18"/>
          <w:szCs w:val="18"/>
          <w:color w:val="auto"/>
        </w:rPr>
        <w:t>The components of income (loss) before income taxes, as shown in the accompanying Financial Statements, consisted of the following for the three months ended March 31, 2026 and 2025:</w:t>
      </w:r>
    </w:p>
    <w:p>
      <w:pPr>
        <w:spacing w:after="0" w:line="182" w:lineRule="exact"/>
        <w:rPr>
          <w:sz w:val="20"/>
          <w:szCs w:val="20"/>
          <w:color w:val="auto"/>
        </w:rPr>
      </w:pPr>
    </w:p>
    <w:p>
      <w:pPr>
        <w:jc w:val="center"/>
        <w:ind w:left="49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9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80" w:type="dxa"/>
        <w:tblCellMar>
          <w:top w:w="0" w:type="dxa"/>
          <w:left w:w="0" w:type="dxa"/>
          <w:bottom w:w="0" w:type="dxa"/>
          <w:right w:w="0" w:type="dxa"/>
        </w:tblCellMar>
      </w:tblPr>
      <w:tr>
        <w:trPr>
          <w:trHeight w:val="142"/>
        </w:trPr>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320" w:type="dxa"/>
            <w:vAlign w:val="bottom"/>
            <w:vMerge w:val="continue"/>
          </w:tcPr>
          <w:p>
            <w:pPr>
              <w:spacing w:after="0"/>
              <w:rPr>
                <w:sz w:val="12"/>
                <w:szCs w:val="12"/>
                <w:color w:val="auto"/>
              </w:rPr>
            </w:pPr>
          </w:p>
        </w:tc>
        <w:tc>
          <w:tcPr>
            <w:tcW w:w="6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Domestic</w:t>
            </w:r>
          </w:p>
        </w:tc>
        <w:tc>
          <w:tcPr>
            <w:tcW w:w="1000" w:type="dxa"/>
            <w:vAlign w:val="bottom"/>
            <w:gridSpan w:val="2"/>
          </w:tcPr>
          <w:p>
            <w:pPr>
              <w:jc w:val="right"/>
              <w:ind w:right="84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(2,586)</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3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0" w:type="dxa"/>
            <w:vAlign w:val="bottom"/>
            <w:gridSpan w:val="2"/>
          </w:tcPr>
          <w:p>
            <w:pPr>
              <w:jc w:val="right"/>
              <w:ind w:right="84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-170815</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-170815</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both"/>
        <w:ind w:right="40" w:firstLine="441"/>
        <w:spacing w:after="0" w:line="266" w:lineRule="auto"/>
        <w:rPr>
          <w:sz w:val="20"/>
          <w:szCs w:val="20"/>
          <w:color w:val="auto"/>
        </w:rPr>
      </w:pPr>
      <w:r>
        <w:rPr>
          <w:rFonts w:ascii="Times New Roman" w:cs="Times New Roman" w:eastAsia="Times New Roman" w:hAnsi="Times New Roman"/>
          <w:sz w:val="18"/>
          <w:szCs w:val="18"/>
          <w:color w:val="auto"/>
        </w:rPr>
        <w:t>The Company has foreign subsidiaries that generate revenues from non-U.S. clients and provide services to the Company’s U.S. operations. As a result, a portion of the Company’s earnings is subject to foreign tax jurisdictions, which may have tax rates that differ from those in the United States.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provision (benefit) for income taxes, as shown in the accompanying Financial Statements, consisted of the following for the three months ended March 31, 2026 and 2025:</w:t>
      </w:r>
    </w:p>
    <w:p>
      <w:pPr>
        <w:spacing w:after="0" w:line="182"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7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80" w:type="dxa"/>
        <w:tblCellMar>
          <w:top w:w="0" w:type="dxa"/>
          <w:left w:w="0" w:type="dxa"/>
          <w:bottom w:w="0" w:type="dxa"/>
          <w:right w:w="0" w:type="dxa"/>
        </w:tblCellMar>
      </w:tblPr>
      <w:tr>
        <w:trPr>
          <w:trHeight w:val="142"/>
        </w:trPr>
        <w:tc>
          <w:tcPr>
            <w:tcW w:w="484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300" w:type="dxa"/>
            <w:vAlign w:val="bottom"/>
            <w:vMerge w:val="continue"/>
          </w:tcPr>
          <w:p>
            <w:pPr>
              <w:spacing w:after="0"/>
              <w:rPr>
                <w:sz w:val="12"/>
                <w:szCs w:val="12"/>
                <w:color w:val="auto"/>
              </w:rPr>
            </w:pPr>
          </w:p>
        </w:tc>
        <w:tc>
          <w:tcPr>
            <w:tcW w:w="6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provision (benefit):</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(353)</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(58)</w:t>
            </w:r>
          </w:p>
        </w:tc>
        <w:tc>
          <w:tcPr>
            <w:tcW w:w="6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provision (benefit)</w:t>
            </w:r>
          </w:p>
        </w:tc>
        <w:tc>
          <w:tcPr>
            <w:tcW w:w="1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(242)</w:t>
            </w:r>
          </w:p>
        </w:tc>
        <w:tc>
          <w:tcPr>
            <w:tcW w:w="6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09"/>
        </w:trPr>
        <w:tc>
          <w:tcPr>
            <w:tcW w:w="48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1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(21)</w:t>
            </w:r>
          </w:p>
        </w:tc>
        <w:tc>
          <w:tcPr>
            <w:tcW w:w="6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484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1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300" w:type="dxa"/>
            <w:vAlign w:val="bottom"/>
            <w:tcBorders>
              <w:top w:val="single" w:sz="8" w:color="CFF0FC"/>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3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-1019175</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-1019175</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-462280</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-462280</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-170815</wp:posOffset>
            </wp:positionV>
            <wp:extent cx="514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-170815</wp:posOffset>
            </wp:positionV>
            <wp:extent cx="514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right="300" w:firstLine="441"/>
        <w:spacing w:after="0" w:line="282" w:lineRule="auto"/>
        <w:rPr>
          <w:sz w:val="20"/>
          <w:szCs w:val="20"/>
          <w:color w:val="auto"/>
        </w:rPr>
      </w:pPr>
      <w:r>
        <w:rPr>
          <w:rFonts w:ascii="Times New Roman" w:cs="Times New Roman" w:eastAsia="Times New Roman" w:hAnsi="Times New Roman"/>
          <w:sz w:val="18"/>
          <w:szCs w:val="18"/>
          <w:color w:val="auto"/>
        </w:rPr>
        <w:t>The reconciliation of income taxes computed using the statutory U.S. income tax rate and the provision (benefit) for income taxes for the three months ended March 31, 2026 and 2025 were as follows (amounts in thousands):</w:t>
      </w:r>
    </w:p>
    <w:p>
      <w:pPr>
        <w:spacing w:after="0" w:line="170"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3"/>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3"/>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73"/>
        </w:trPr>
        <w:tc>
          <w:tcPr>
            <w:tcW w:w="4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209"/>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taxes computed at the federal statutory rate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6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9"/>
              </w:rPr>
              <w:t>(21.0)%</w:t>
            </w: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6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shortfalls</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6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0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Difference in income tax rate on foreign</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34"/>
        </w:trPr>
        <w:tc>
          <w:tcPr>
            <w:tcW w:w="4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earnings/other</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FF0FC"/>
          </w:tcPr>
          <w:p>
            <w:pPr>
              <w:spacing w:after="0"/>
              <w:rPr>
                <w:sz w:val="20"/>
                <w:szCs w:val="20"/>
                <w:color w:val="auto"/>
              </w:rPr>
            </w:pPr>
          </w:p>
        </w:tc>
      </w:tr>
      <w:tr>
        <w:trPr>
          <w:trHeight w:val="216"/>
        </w:trPr>
        <w:tc>
          <w:tcPr>
            <w:tcW w:w="40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59.8%</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6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(18.3)%</w:t>
            </w:r>
          </w:p>
        </w:tc>
      </w:tr>
      <w:tr>
        <w:trPr>
          <w:trHeight w:val="20"/>
        </w:trPr>
        <w:tc>
          <w:tcPr>
            <w:tcW w:w="4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33"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The Company evaluates deferred income taxes on a quarterly basis to determine whether valuation allowances are required or should be adjusted. Accounting guidance requires the Company to assess whether valuation allowances should be established against deferred tax assets based on all available evidence, both positive and negative, using a “more likely than not” standard. This assessment considers, among other factors, the nature of cumulative losses, forecasts of future profitability, the duration of statutory carryforward periods, and available tax planning strategies.</w:t>
      </w:r>
    </w:p>
    <w:p>
      <w:pPr>
        <w:spacing w:after="0" w:line="75" w:lineRule="exact"/>
        <w:rPr>
          <w:sz w:val="20"/>
          <w:szCs w:val="20"/>
          <w:color w:val="auto"/>
        </w:rPr>
      </w:pPr>
    </w:p>
    <w:p>
      <w:pPr>
        <w:ind w:right="300" w:firstLine="441"/>
        <w:spacing w:after="0" w:line="266" w:lineRule="auto"/>
        <w:rPr>
          <w:sz w:val="20"/>
          <w:szCs w:val="20"/>
          <w:color w:val="auto"/>
        </w:rPr>
      </w:pPr>
      <w:r>
        <w:rPr>
          <w:rFonts w:ascii="Times New Roman" w:cs="Times New Roman" w:eastAsia="Times New Roman" w:hAnsi="Times New Roman"/>
          <w:sz w:val="18"/>
          <w:szCs w:val="18"/>
          <w:color w:val="auto"/>
        </w:rPr>
        <w:t>At March 31, 2026 and 2025, the Company’s valuation allowance relates primarily to net operating losses in Ireland and the United Kingdom, totaling approximately $435,000 and $452,000, respectively. These valuation allowances reflect uncertainties regarding the Company’s ability to realize these deferred tax assets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40" w:hanging="436"/>
        <w:spacing w:after="0"/>
        <w:tabs>
          <w:tab w:leader="none" w:pos="4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121"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8, 2023, the Company announced that its Board of Directors authorized a share repurchase program for up to</w:t>
      </w:r>
    </w:p>
    <w:p>
      <w:pPr>
        <w:sectPr>
          <w:pgSz w:w="11900" w:h="16838" w:orient="portrait"/>
          <w:cols w:equalWidth="0" w:num="1">
            <w:col w:w="9680"/>
          </w:cols>
          <w:pgMar w:left="1080" w:top="117" w:right="1139" w:bottom="1440" w:gutter="0" w:footer="0" w:header="0"/>
        </w:sect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17" w:right="11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500,000 shares of the Company’s common stock. On February 19, 2025, the Board approved a one-year extension of the program through February 8, 2026. The share repurchase program expired in accordance with its terms on February 8, 2026.</w:t>
      </w:r>
    </w:p>
    <w:p>
      <w:pPr>
        <w:spacing w:after="0" w:line="162"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did not repurchase any shares under this program. The program expired with 124,000 shares remaining available for repurchase.</w:t>
      </w:r>
    </w:p>
    <w:p>
      <w:pPr>
        <w:spacing w:after="0" w:line="162"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On February 16, 2026, the Board of Directors authorized a new share repurchase program under which the Company may repurchase up to $5.0 million of its outstanding common stock. Repurchases under the program may be made from time to time through privately negotiated transactions, block purchases, or other means, and the program may be modified, suspended, or terminated at any time at the discretion of the Board. The timing and amount of repurchases, if any, will depend on business, market, and economic conditions, as well as other factors. No repurchases were made under this program during the three months ended March 31, 2026.</w:t>
      </w:r>
    </w:p>
    <w:p>
      <w:pPr>
        <w:spacing w:after="0" w:line="187"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Additionally, the Company may repurchase shares from time to time to satisfy employee tax withholding obligations related to its Stock Incentive Plan. The Company did not repurchase any shares for this purpose during the three months ended March 31, 2026 and 2025.</w:t>
      </w:r>
    </w:p>
    <w:p>
      <w:pPr>
        <w:spacing w:after="0" w:line="280" w:lineRule="exact"/>
        <w:rPr>
          <w:sz w:val="20"/>
          <w:szCs w:val="20"/>
          <w:color w:val="auto"/>
        </w:rPr>
      </w:pPr>
    </w:p>
    <w:p>
      <w:pPr>
        <w:ind w:left="440" w:hanging="436"/>
        <w:spacing w:after="0"/>
        <w:tabs>
          <w:tab w:leader="none" w:pos="4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The computation of basic earnings (loss) per share is based on the Company’s net income (loss) divided by the weighted average number of common shares outstanding. Diluted earnings (loss) per share reflect the potential dilution that could occur if outstanding stock options were exercised or restricted stock units settled. The dilutive effect of stock options was calculated using the treasury stock method.</w:t>
      </w:r>
    </w:p>
    <w:p>
      <w:pPr>
        <w:spacing w:after="0" w:line="180"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there were 2,649,000 anti-dilutive stock options excluded from the computation of diluted earnings per share. For the three months ended March 31, 2025, all stock options and restricted shares were anti-dilutive and excluded from the computation of diluted (loss) per share.</w:t>
      </w:r>
    </w:p>
    <w:p>
      <w:pPr>
        <w:sectPr>
          <w:pgSz w:w="11900" w:h="16838" w:orient="portrait"/>
          <w:cols w:equalWidth="0" w:num="1">
            <w:col w:w="9620"/>
          </w:cols>
          <w:pgMar w:left="1080" w:top="117"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20"/>
          </w:cols>
          <w:pgMar w:left="1080" w:top="117" w:right="1199" w:bottom="1440" w:gutter="0" w:footer="0" w:header="0"/>
          <w:type w:val="continuous"/>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00" w:hanging="436"/>
        <w:spacing w:after="0"/>
        <w:tabs>
          <w:tab w:leader="none" w:pos="11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Segments and Geographic Information</w:t>
      </w:r>
    </w:p>
    <w:p>
      <w:pPr>
        <w:spacing w:after="0" w:line="121" w:lineRule="exact"/>
        <w:rPr>
          <w:sz w:val="20"/>
          <w:szCs w:val="20"/>
          <w:color w:val="auto"/>
        </w:rPr>
      </w:pPr>
    </w:p>
    <w:p>
      <w:pPr>
        <w:ind w:left="660" w:right="700" w:firstLine="441"/>
        <w:spacing w:after="0" w:line="261" w:lineRule="auto"/>
        <w:rPr>
          <w:sz w:val="20"/>
          <w:szCs w:val="20"/>
          <w:color w:val="auto"/>
        </w:rPr>
      </w:pPr>
      <w:r>
        <w:rPr>
          <w:rFonts w:ascii="Times New Roman" w:cs="Times New Roman" w:eastAsia="Times New Roman" w:hAnsi="Times New Roman"/>
          <w:sz w:val="18"/>
          <w:szCs w:val="18"/>
          <w:color w:val="auto"/>
        </w:rPr>
        <w:t>Beginning January 1, 2026, the Company reports its operations through two reportable segments: Talent and Data &amp; AI. This change reflects a realignment of the Company’s internal management and reporting structure under its operating strategy, whereby the Chief Operating Decision Maker evaluates operating performance and allocates resources based on these two segments. Prior-period segment information has been recast to conform to the current presentation.</w:t>
      </w:r>
    </w:p>
    <w:p>
      <w:pPr>
        <w:spacing w:after="0" w:line="72" w:lineRule="exact"/>
        <w:rPr>
          <w:sz w:val="20"/>
          <w:szCs w:val="20"/>
          <w:color w:val="auto"/>
        </w:rPr>
      </w:pPr>
    </w:p>
    <w:p>
      <w:pPr>
        <w:ind w:left="660" w:right="680" w:firstLine="441"/>
        <w:spacing w:after="0" w:line="261" w:lineRule="auto"/>
        <w:rPr>
          <w:sz w:val="20"/>
          <w:szCs w:val="20"/>
          <w:color w:val="auto"/>
        </w:rPr>
      </w:pPr>
      <w:r>
        <w:rPr>
          <w:rFonts w:ascii="Times New Roman" w:cs="Times New Roman" w:eastAsia="Times New Roman" w:hAnsi="Times New Roman"/>
          <w:sz w:val="18"/>
          <w:szCs w:val="18"/>
          <w:color w:val="auto"/>
        </w:rPr>
        <w:t>The Data &amp; AI segment consists of direct client engagements that are managed as services-led accounts. These offerings include data management and analytics, digital transformation consulting, AI and Industry Solutions, staffing to direct customers, data engineering and IT services, and managed services. Engagements are typically project-based and may be structured as time-and-material or fixed-price arrangements and delivered using a combination of on-site and offshore resources.</w:t>
      </w:r>
    </w:p>
    <w:p>
      <w:pPr>
        <w:spacing w:after="0" w:line="72" w:lineRule="exact"/>
        <w:rPr>
          <w:sz w:val="20"/>
          <w:szCs w:val="20"/>
          <w:color w:val="auto"/>
        </w:rPr>
      </w:pPr>
    </w:p>
    <w:p>
      <w:pPr>
        <w:ind w:left="660" w:right="660" w:firstLine="441"/>
        <w:spacing w:after="0" w:line="261" w:lineRule="auto"/>
        <w:rPr>
          <w:sz w:val="20"/>
          <w:szCs w:val="20"/>
          <w:color w:val="auto"/>
        </w:rPr>
      </w:pPr>
      <w:r>
        <w:rPr>
          <w:rFonts w:ascii="Times New Roman" w:cs="Times New Roman" w:eastAsia="Times New Roman" w:hAnsi="Times New Roman"/>
          <w:sz w:val="18"/>
          <w:szCs w:val="18"/>
          <w:color w:val="auto"/>
        </w:rPr>
        <w:t>The Talent segment consists of staffing engagements that provide clients with access to skilled technology professionals across a broad range of digital and mainstream IT disciplines. These engagements include both intermediated arrangements through managed service providers and system integrators that are managed as staffing-only engagements. Substantially all revenue within this segment is recognized over time as services are performed, generally based on hours worked</w:t>
      </w:r>
    </w:p>
    <w:p>
      <w:pPr>
        <w:spacing w:after="0" w:line="28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1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11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7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400" w:type="dxa"/>
            <w:vAlign w:val="bottom"/>
            <w:vMerge w:val="continue"/>
          </w:tcPr>
          <w:p>
            <w:pPr>
              <w:spacing w:after="0"/>
              <w:rPr>
                <w:sz w:val="12"/>
                <w:szCs w:val="12"/>
                <w:color w:val="auto"/>
              </w:rPr>
            </w:pPr>
          </w:p>
        </w:tc>
        <w:tc>
          <w:tcPr>
            <w:tcW w:w="6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thousands)</w:t>
            </w: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&amp; AI</w:t>
            </w:r>
          </w:p>
        </w:tc>
        <w:tc>
          <w:tcPr>
            <w:tcW w:w="2060" w:type="dxa"/>
            <w:vAlign w:val="bottom"/>
            <w:gridSpan w:val="2"/>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12,584</w:t>
            </w:r>
          </w:p>
        </w:tc>
        <w:tc>
          <w:tcPr>
            <w:tcW w:w="4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15,997</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Talent</w:t>
            </w:r>
          </w:p>
        </w:tc>
        <w:tc>
          <w:tcPr>
            <w:tcW w:w="8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28,499</w:t>
            </w:r>
          </w:p>
        </w:tc>
        <w:tc>
          <w:tcPr>
            <w:tcW w:w="4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32,320</w:t>
            </w:r>
          </w:p>
        </w:tc>
        <w:tc>
          <w:tcPr>
            <w:tcW w:w="180" w:type="dxa"/>
            <w:vAlign w:val="bottom"/>
            <w:tcBorders>
              <w:bottom w:val="single" w:sz="8" w:color="CFF0FC"/>
            </w:tcBorders>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060" w:type="dxa"/>
            <w:vAlign w:val="bottom"/>
            <w:gridSpan w:val="2"/>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41,083</w:t>
            </w:r>
          </w:p>
        </w:tc>
        <w:tc>
          <w:tcPr>
            <w:tcW w:w="4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48,317</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35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Cost of Revenues:</w:t>
            </w:r>
          </w:p>
        </w:tc>
        <w:tc>
          <w:tcPr>
            <w:tcW w:w="8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&amp; AI</w:t>
            </w:r>
          </w:p>
        </w:tc>
        <w:tc>
          <w:tcPr>
            <w:tcW w:w="2060" w:type="dxa"/>
            <w:vAlign w:val="bottom"/>
            <w:gridSpan w:val="2"/>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4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9,963</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Talent</w:t>
            </w:r>
          </w:p>
        </w:tc>
        <w:tc>
          <w:tcPr>
            <w:tcW w:w="8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22,158</w:t>
            </w:r>
          </w:p>
        </w:tc>
        <w:tc>
          <w:tcPr>
            <w:tcW w:w="4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25,462</w:t>
            </w:r>
          </w:p>
        </w:tc>
        <w:tc>
          <w:tcPr>
            <w:tcW w:w="180" w:type="dxa"/>
            <w:vAlign w:val="bottom"/>
            <w:tcBorders>
              <w:bottom w:val="single" w:sz="8" w:color="CFF0FC"/>
            </w:tcBorders>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540" w:type="dxa"/>
            <w:vAlign w:val="bottom"/>
          </w:tcPr>
          <w:p>
            <w:pPr>
              <w:ind w:left="360"/>
              <w:spacing w:after="0" w:line="210" w:lineRule="exact"/>
              <w:rPr>
                <w:sz w:val="20"/>
                <w:szCs w:val="20"/>
                <w:color w:val="auto"/>
              </w:rPr>
            </w:pPr>
            <w:r>
              <w:rPr>
                <w:rFonts w:ascii="Times New Roman" w:cs="Times New Roman" w:eastAsia="Times New Roman" w:hAnsi="Times New Roman"/>
                <w:sz w:val="18"/>
                <w:szCs w:val="18"/>
                <w:color w:val="auto"/>
              </w:rPr>
              <w:t>Total cost of revenues</w:t>
            </w:r>
            <w:r>
              <w:rPr>
                <w:rFonts w:ascii="Times New Roman" w:cs="Times New Roman" w:eastAsia="Times New Roman" w:hAnsi="Times New Roman"/>
                <w:sz w:val="24"/>
                <w:szCs w:val="24"/>
                <w:color w:val="auto"/>
                <w:vertAlign w:val="superscript"/>
              </w:rPr>
              <w:t>1</w:t>
            </w:r>
          </w:p>
        </w:tc>
        <w:tc>
          <w:tcPr>
            <w:tcW w:w="2060" w:type="dxa"/>
            <w:vAlign w:val="bottom"/>
            <w:gridSpan w:val="2"/>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30,058</w:t>
            </w:r>
          </w:p>
        </w:tc>
        <w:tc>
          <w:tcPr>
            <w:tcW w:w="4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35,425</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35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Gross Profit:</w:t>
            </w:r>
          </w:p>
        </w:tc>
        <w:tc>
          <w:tcPr>
            <w:tcW w:w="8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&amp; AI</w:t>
            </w:r>
          </w:p>
        </w:tc>
        <w:tc>
          <w:tcPr>
            <w:tcW w:w="2060" w:type="dxa"/>
            <w:vAlign w:val="bottom"/>
            <w:gridSpan w:val="2"/>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4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Talent</w:t>
            </w:r>
          </w:p>
        </w:tc>
        <w:tc>
          <w:tcPr>
            <w:tcW w:w="8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4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180" w:type="dxa"/>
            <w:vAlign w:val="bottom"/>
            <w:tcBorders>
              <w:bottom w:val="single" w:sz="8" w:color="CFF0FC"/>
            </w:tcBorders>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540" w:type="dxa"/>
            <w:vAlign w:val="bottom"/>
          </w:tcPr>
          <w:p>
            <w:pPr>
              <w:ind w:left="360"/>
              <w:spacing w:after="0" w:line="210" w:lineRule="exact"/>
              <w:rPr>
                <w:sz w:val="20"/>
                <w:szCs w:val="20"/>
                <w:color w:val="auto"/>
              </w:rPr>
            </w:pPr>
            <w:r>
              <w:rPr>
                <w:rFonts w:ascii="Times New Roman" w:cs="Times New Roman" w:eastAsia="Times New Roman" w:hAnsi="Times New Roman"/>
                <w:sz w:val="18"/>
                <w:szCs w:val="18"/>
                <w:color w:val="auto"/>
              </w:rPr>
              <w:t>Total gross profit</w:t>
            </w:r>
            <w:r>
              <w:rPr>
                <w:rFonts w:ascii="Times New Roman" w:cs="Times New Roman" w:eastAsia="Times New Roman" w:hAnsi="Times New Roman"/>
                <w:sz w:val="24"/>
                <w:szCs w:val="24"/>
                <w:color w:val="auto"/>
                <w:vertAlign w:val="superscript"/>
              </w:rPr>
              <w:t>1</w:t>
            </w:r>
          </w:p>
        </w:tc>
        <w:tc>
          <w:tcPr>
            <w:tcW w:w="2060" w:type="dxa"/>
            <w:vAlign w:val="bottom"/>
            <w:gridSpan w:val="2"/>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11,025</w:t>
            </w:r>
          </w:p>
        </w:tc>
        <w:tc>
          <w:tcPr>
            <w:tcW w:w="4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12,892</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35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Gross Margin %:</w:t>
            </w:r>
          </w:p>
        </w:tc>
        <w:tc>
          <w:tcPr>
            <w:tcW w:w="8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&amp; AI</w:t>
            </w: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37.2%</w:t>
            </w:r>
          </w:p>
        </w:tc>
        <w:tc>
          <w:tcPr>
            <w:tcW w:w="6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Talent</w:t>
            </w:r>
          </w:p>
        </w:tc>
        <w:tc>
          <w:tcPr>
            <w:tcW w:w="8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22.2%</w:t>
            </w:r>
          </w:p>
        </w:tc>
        <w:tc>
          <w:tcPr>
            <w:tcW w:w="6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4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3540" w:type="dxa"/>
            <w:vAlign w:val="bottom"/>
          </w:tcPr>
          <w:p>
            <w:pPr>
              <w:ind w:left="360"/>
              <w:spacing w:after="0" w:line="210" w:lineRule="exact"/>
              <w:rPr>
                <w:sz w:val="20"/>
                <w:szCs w:val="20"/>
                <w:color w:val="auto"/>
              </w:rPr>
            </w:pPr>
            <w:r>
              <w:rPr>
                <w:rFonts w:ascii="Times New Roman" w:cs="Times New Roman" w:eastAsia="Times New Roman" w:hAnsi="Times New Roman"/>
                <w:sz w:val="18"/>
                <w:szCs w:val="18"/>
                <w:color w:val="auto"/>
              </w:rPr>
              <w:t>Total gross margin %</w:t>
            </w:r>
            <w:r>
              <w:rPr>
                <w:rFonts w:ascii="Times New Roman" w:cs="Times New Roman" w:eastAsia="Times New Roman" w:hAnsi="Times New Roman"/>
                <w:sz w:val="24"/>
                <w:szCs w:val="24"/>
                <w:color w:val="auto"/>
                <w:vertAlign w:val="superscript"/>
              </w:rPr>
              <w:t>1</w:t>
            </w: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26.8%</w:t>
            </w:r>
          </w:p>
        </w:tc>
        <w:tc>
          <w:tcPr>
            <w:tcW w:w="6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Sales &amp; Marketing Expenses:</w:t>
            </w:r>
          </w:p>
        </w:tc>
        <w:tc>
          <w:tcPr>
            <w:tcW w:w="8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&amp; AI</w:t>
            </w:r>
          </w:p>
        </w:tc>
        <w:tc>
          <w:tcPr>
            <w:tcW w:w="2060" w:type="dxa"/>
            <w:vAlign w:val="bottom"/>
            <w:gridSpan w:val="2"/>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4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Talent</w:t>
            </w:r>
          </w:p>
        </w:tc>
        <w:tc>
          <w:tcPr>
            <w:tcW w:w="8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4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80" w:type="dxa"/>
            <w:vAlign w:val="bottom"/>
            <w:tcBorders>
              <w:bottom w:val="single" w:sz="8" w:color="CFF0FC"/>
            </w:tcBorders>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sales &amp; marketing expenses</w:t>
            </w:r>
          </w:p>
        </w:tc>
        <w:tc>
          <w:tcPr>
            <w:tcW w:w="840" w:type="dxa"/>
            <w:vAlign w:val="bottom"/>
          </w:tcPr>
          <w:p>
            <w:pPr>
              <w:spacing w:after="0"/>
              <w:rPr>
                <w:sz w:val="18"/>
                <w:szCs w:val="18"/>
                <w:color w:val="auto"/>
              </w:rPr>
            </w:pPr>
          </w:p>
        </w:tc>
        <w:tc>
          <w:tcPr>
            <w:tcW w:w="122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400" w:type="dxa"/>
            <w:vAlign w:val="bottom"/>
          </w:tcPr>
          <w:p>
            <w:pPr>
              <w:spacing w:after="0"/>
              <w:rPr>
                <w:sz w:val="18"/>
                <w:szCs w:val="18"/>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60" w:type="dxa"/>
            <w:vAlign w:val="bottom"/>
            <w:gridSpan w:val="2"/>
          </w:tcPr>
          <w:p>
            <w:pPr>
              <w:jc w:val="right"/>
              <w:ind w:right="1039"/>
              <w:spacing w:after="0"/>
              <w:rPr>
                <w:sz w:val="20"/>
                <w:szCs w:val="20"/>
                <w:color w:val="auto"/>
              </w:rPr>
            </w:pPr>
            <w:r>
              <w:rPr>
                <w:rFonts w:ascii="Times New Roman" w:cs="Times New Roman" w:eastAsia="Times New Roman" w:hAnsi="Times New Roman"/>
                <w:sz w:val="18"/>
                <w:szCs w:val="18"/>
                <w:color w:val="auto"/>
              </w:rPr>
              <w:t>18</w:t>
            </w: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4716145</wp:posOffset>
            </wp:positionH>
            <wp:positionV relativeFrom="paragraph">
              <wp:posOffset>-3411220</wp:posOffset>
            </wp:positionV>
            <wp:extent cx="1111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-3411220</wp:posOffset>
            </wp:positionV>
            <wp:extent cx="1117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4716145</wp:posOffset>
            </wp:positionH>
            <wp:positionV relativeFrom="paragraph">
              <wp:posOffset>-2828290</wp:posOffset>
            </wp:positionV>
            <wp:extent cx="1111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-2828290</wp:posOffset>
            </wp:positionV>
            <wp:extent cx="1117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4716145</wp:posOffset>
            </wp:positionH>
            <wp:positionV relativeFrom="paragraph">
              <wp:posOffset>-2245360</wp:posOffset>
            </wp:positionV>
            <wp:extent cx="1111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-2245360</wp:posOffset>
            </wp:positionV>
            <wp:extent cx="1117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4716145</wp:posOffset>
            </wp:positionH>
            <wp:positionV relativeFrom="paragraph">
              <wp:posOffset>-1662430</wp:posOffset>
            </wp:positionV>
            <wp:extent cx="1111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-1662430</wp:posOffset>
            </wp:positionV>
            <wp:extent cx="1117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4716145</wp:posOffset>
            </wp:positionH>
            <wp:positionV relativeFrom="paragraph">
              <wp:posOffset>-1079500</wp:posOffset>
            </wp:positionV>
            <wp:extent cx="1111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-1079500</wp:posOffset>
            </wp:positionV>
            <wp:extent cx="1117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0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40" w:type="dxa"/>
        <w:tblCellMar>
          <w:top w:w="0" w:type="dxa"/>
          <w:left w:w="0" w:type="dxa"/>
          <w:bottom w:w="0" w:type="dxa"/>
          <w:right w:w="0" w:type="dxa"/>
        </w:tblCellMar>
      </w:tblPr>
      <w:tr>
        <w:trPr>
          <w:trHeight w:val="142"/>
        </w:trPr>
        <w:tc>
          <w:tcPr>
            <w:tcW w:w="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300" w:type="dxa"/>
            <w:vAlign w:val="bottom"/>
            <w:gridSpan w:val="2"/>
            <w:vMerge w:val="continue"/>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Operations Expenses:</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&amp; AI</w:t>
            </w:r>
          </w:p>
        </w:tc>
        <w:tc>
          <w:tcPr>
            <w:tcW w:w="186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80" w:type="dxa"/>
            <w:vAlign w:val="bottom"/>
          </w:tcPr>
          <w:p>
            <w:pPr>
              <w:spacing w:after="0"/>
              <w:rPr>
                <w:sz w:val="18"/>
                <w:szCs w:val="18"/>
                <w:color w:val="auto"/>
              </w:rPr>
            </w:pPr>
          </w:p>
        </w:tc>
        <w:tc>
          <w:tcPr>
            <w:tcW w:w="68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Talent</w:t>
            </w:r>
          </w:p>
        </w:tc>
        <w:tc>
          <w:tcPr>
            <w:tcW w:w="8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operations expenses</w:t>
            </w:r>
          </w:p>
        </w:tc>
        <w:tc>
          <w:tcPr>
            <w:tcW w:w="186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80" w:type="dxa"/>
            <w:vAlign w:val="bottom"/>
          </w:tcPr>
          <w:p>
            <w:pPr>
              <w:spacing w:after="0"/>
              <w:rPr>
                <w:sz w:val="18"/>
                <w:szCs w:val="18"/>
                <w:color w:val="auto"/>
              </w:rPr>
            </w:pPr>
          </w:p>
        </w:tc>
        <w:tc>
          <w:tcPr>
            <w:tcW w:w="68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tcPr>
          <w:p>
            <w:pPr>
              <w:spacing w:after="0"/>
              <w:rPr>
                <w:sz w:val="17"/>
                <w:szCs w:val="17"/>
                <w:color w:val="auto"/>
              </w:rPr>
            </w:pPr>
          </w:p>
        </w:tc>
        <w:tc>
          <w:tcPr>
            <w:tcW w:w="43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General &amp; Administrative Expenses:</w:t>
            </w:r>
          </w:p>
        </w:tc>
        <w:tc>
          <w:tcPr>
            <w:tcW w:w="8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&amp; AI</w:t>
            </w:r>
          </w:p>
        </w:tc>
        <w:tc>
          <w:tcPr>
            <w:tcW w:w="186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80" w:type="dxa"/>
            <w:vAlign w:val="bottom"/>
          </w:tcPr>
          <w:p>
            <w:pPr>
              <w:spacing w:after="0"/>
              <w:rPr>
                <w:sz w:val="18"/>
                <w:szCs w:val="18"/>
                <w:color w:val="auto"/>
              </w:rPr>
            </w:pPr>
          </w:p>
        </w:tc>
        <w:tc>
          <w:tcPr>
            <w:tcW w:w="68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Talent</w:t>
            </w:r>
          </w:p>
        </w:tc>
        <w:tc>
          <w:tcPr>
            <w:tcW w:w="8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general &amp; administrative expenses</w:t>
            </w:r>
          </w:p>
        </w:tc>
        <w:tc>
          <w:tcPr>
            <w:tcW w:w="186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180" w:type="dxa"/>
            <w:vAlign w:val="bottom"/>
          </w:tcPr>
          <w:p>
            <w:pPr>
              <w:spacing w:after="0"/>
              <w:rPr>
                <w:sz w:val="18"/>
                <w:szCs w:val="18"/>
                <w:color w:val="auto"/>
              </w:rPr>
            </w:pPr>
          </w:p>
        </w:tc>
        <w:tc>
          <w:tcPr>
            <w:tcW w:w="68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tcPr>
          <w:p>
            <w:pPr>
              <w:spacing w:after="0"/>
              <w:rPr>
                <w:sz w:val="17"/>
                <w:szCs w:val="17"/>
                <w:color w:val="auto"/>
              </w:rPr>
            </w:pPr>
          </w:p>
        </w:tc>
        <w:tc>
          <w:tcPr>
            <w:tcW w:w="43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operating income (loss):</w:t>
            </w:r>
          </w:p>
        </w:tc>
        <w:tc>
          <w:tcPr>
            <w:tcW w:w="8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&amp; AI</w:t>
            </w:r>
          </w:p>
        </w:tc>
        <w:tc>
          <w:tcPr>
            <w:tcW w:w="186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ind w:right="48"/>
              <w:spacing w:after="0"/>
              <w:rPr>
                <w:sz w:val="20"/>
                <w:szCs w:val="20"/>
                <w:color w:val="auto"/>
              </w:rPr>
            </w:pPr>
            <w:r>
              <w:rPr>
                <w:rFonts w:ascii="Times New Roman" w:cs="Times New Roman" w:eastAsia="Times New Roman" w:hAnsi="Times New Roman"/>
                <w:sz w:val="18"/>
                <w:szCs w:val="18"/>
                <w:color w:val="auto"/>
              </w:rPr>
              <w:t>(448)</w:t>
            </w:r>
          </w:p>
        </w:tc>
        <w:tc>
          <w:tcPr>
            <w:tcW w:w="68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Talent</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30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880" w:type="dxa"/>
            <w:vAlign w:val="bottom"/>
            <w:tcBorders>
              <w:top w:val="single" w:sz="8" w:color="CFF0F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Unallocated Cost:</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86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ind w:right="48"/>
              <w:spacing w:after="0"/>
              <w:rPr>
                <w:sz w:val="20"/>
                <w:szCs w:val="20"/>
                <w:color w:val="auto"/>
              </w:rPr>
            </w:pPr>
            <w:r>
              <w:rPr>
                <w:rFonts w:ascii="Times New Roman" w:cs="Times New Roman" w:eastAsia="Times New Roman" w:hAnsi="Times New Roman"/>
                <w:sz w:val="18"/>
                <w:szCs w:val="18"/>
                <w:color w:val="auto"/>
              </w:rPr>
              <w:t>(603)</w:t>
            </w:r>
          </w:p>
        </w:tc>
        <w:tc>
          <w:tcPr>
            <w:tcW w:w="68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Severance expense</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430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Interest income (expense), FX, gains (losses)</w:t>
            </w: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other, net</w:t>
            </w:r>
          </w:p>
        </w:tc>
        <w:tc>
          <w:tcPr>
            <w:tcW w:w="8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6200" w:type="dxa"/>
            <w:vAlign w:val="bottom"/>
            <w:gridSpan w:val="4"/>
          </w:tcPr>
          <w:p>
            <w:pPr>
              <w:jc w:val="right"/>
              <w:ind w:right="199"/>
              <w:spacing w:after="0"/>
              <w:rPr>
                <w:sz w:val="20"/>
                <w:szCs w:val="20"/>
                <w:color w:val="auto"/>
              </w:rPr>
            </w:pPr>
            <w:r>
              <w:rPr>
                <w:rFonts w:ascii="Times New Roman" w:cs="Times New Roman" w:eastAsia="Times New Roman" w:hAnsi="Times New Roman"/>
                <w:sz w:val="18"/>
                <w:szCs w:val="18"/>
                <w:color w:val="auto"/>
                <w:w w:val="99"/>
              </w:rPr>
              <w:t>Below is geographic information related to our revenues from external customers: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gridSpan w:val="8"/>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Borders>
              <w:bottom w:val="single" w:sz="8" w:color="auto"/>
            </w:tcBorders>
            <w:gridSpan w:val="4"/>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(Amounts in</w:t>
            </w:r>
          </w:p>
        </w:tc>
        <w:tc>
          <w:tcPr>
            <w:tcW w:w="1040" w:type="dxa"/>
            <w:vAlign w:val="bottom"/>
            <w:gridSpan w:val="4"/>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gridSpan w:val="3"/>
            <w:shd w:val="clear" w:color="auto" w:fill="CFF0FC"/>
          </w:tcPr>
          <w:p>
            <w:pPr>
              <w:jc w:val="right"/>
              <w:ind w:right="34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40,394</w:t>
            </w:r>
          </w:p>
        </w:tc>
        <w:tc>
          <w:tcPr>
            <w:tcW w:w="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47,752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India and Other</w:t>
            </w:r>
          </w:p>
        </w:tc>
        <w:tc>
          <w:tcPr>
            <w:tcW w:w="8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3"/>
          </w:tcPr>
          <w:p>
            <w:pPr>
              <w:jc w:val="right"/>
              <w:ind w:right="34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41,083</w:t>
            </w:r>
          </w:p>
        </w:tc>
        <w:tc>
          <w:tcPr>
            <w:tcW w:w="60" w:type="dxa"/>
            <w:vAlign w:val="bottom"/>
          </w:tcPr>
          <w:p>
            <w:pPr>
              <w:spacing w:after="0"/>
              <w:rPr>
                <w:sz w:val="18"/>
                <w:szCs w:val="18"/>
                <w:color w:val="auto"/>
              </w:rPr>
            </w:pPr>
          </w:p>
        </w:tc>
        <w:tc>
          <w:tcPr>
            <w:tcW w:w="3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4614545</wp:posOffset>
            </wp:positionH>
            <wp:positionV relativeFrom="paragraph">
              <wp:posOffset>-3736975</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-3736975</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-3154045</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-3154045</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-2571115</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-2571115</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-1602740</wp:posOffset>
            </wp:positionV>
            <wp:extent cx="51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-1584960</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-1602740</wp:posOffset>
            </wp:positionV>
            <wp:extent cx="514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-1584960</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5154295</wp:posOffset>
            </wp:positionH>
            <wp:positionV relativeFrom="paragraph">
              <wp:posOffset>-170815</wp:posOffset>
            </wp:positionV>
            <wp:extent cx="514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-170815</wp:posOffset>
            </wp:positionV>
            <wp:extent cx="51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79" w:firstLine="441"/>
        <w:spacing w:after="0" w:line="266" w:lineRule="auto"/>
        <w:rPr>
          <w:sz w:val="20"/>
          <w:szCs w:val="20"/>
          <w:color w:val="auto"/>
        </w:rPr>
      </w:pPr>
      <w:r>
        <w:rPr>
          <w:rFonts w:ascii="Times New Roman" w:cs="Times New Roman" w:eastAsia="Times New Roman" w:hAnsi="Times New Roman"/>
          <w:sz w:val="18"/>
          <w:szCs w:val="18"/>
          <w:color w:val="auto"/>
        </w:rPr>
        <w:t>The Company does not disclose total assets by reportable segment, as such information is not regularly provided to the Company’s Chief Operating Decision Maker (“CODM”). A significant portion of the Company’s assets is utilized across both segments and is not specifically attributable to individual segments.</w:t>
      </w:r>
    </w:p>
    <w:p>
      <w:pPr>
        <w:spacing w:after="0" w:line="39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17"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40" w:hanging="436"/>
        <w:spacing w:after="0"/>
        <w:tabs>
          <w:tab w:leader="none" w:pos="4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9"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amendments in this ASU require more detailed disclosures about an entity’s business expenses. Additional interim and annual reporting disclosures in the notes to financial statements include the amounts of inventory purchases, employee compensation, depreciation, amortization of intangible assets and a qualitative description of amounts that are not separately disclosed. The amendments in this ASU are effective for annual periods beginning after December 15, 2026, and interim reporting periods beginning after December 15, 2027. Early adoption is permitted. The Company does not expect this ASU to have a material impact on its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Adopted Accounting Pronouncements</w:t>
      </w:r>
    </w:p>
    <w:p>
      <w:pPr>
        <w:spacing w:after="0" w:line="22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The amendments in this ASU introduce a practical expedient for all entities and provide entities other than public business entities with an accounting policy election when applying Topic 326 to current accounts receivable and contract assets arising from transactions under Topic 606, Revenue from Contracts with Customers. The practical expedient is intended to simplify the estimation of expected credit losses for short-term trade receivables and contract assets when such losses are expected to be immaterial. The amendments are effective for fiscal years beginning after December 15, 2025, including interim periods within those fiscal years. Early adoption is permitted. The Company does not expect this ASU to have a material impact on its financial statements.</w:t>
      </w:r>
    </w:p>
    <w:p>
      <w:pPr>
        <w:spacing w:after="0" w:line="192" w:lineRule="exact"/>
        <w:rPr>
          <w:sz w:val="20"/>
          <w:szCs w:val="20"/>
          <w:color w:val="auto"/>
        </w:rPr>
      </w:pPr>
    </w:p>
    <w:p>
      <w:pPr>
        <w:ind w:right="660" w:firstLine="441"/>
        <w:spacing w:after="0" w:line="261" w:lineRule="auto"/>
        <w:rPr>
          <w:sz w:val="20"/>
          <w:szCs w:val="20"/>
          <w:color w:val="auto"/>
        </w:rPr>
      </w:pPr>
      <w:r>
        <w:rPr>
          <w:rFonts w:ascii="Times New Roman" w:cs="Times New Roman" w:eastAsia="Times New Roman" w:hAnsi="Times New Roman"/>
          <w:sz w:val="18"/>
          <w:szCs w:val="18"/>
          <w:color w:val="auto"/>
        </w:rPr>
        <w:t>A variety of proposed or otherwise potential accounting standards are currently under consideration by standard-setting organizations and certain regulatory agencies. Because of the tentative and preliminary nature of such proposed standards, management has not yet determined the effect, if any that the implementation of such proposed standards would have on the Company’s consolidated financial statements.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51"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You should read the following discussion in conjunction with our audited consolidated financial statements and accompanying notes for the year ended December 31, 2025, included in our Annual Report on Form 10-K, filed with the Securities and Exchange Commission (“SEC”) on March 18, 2026.</w:t>
      </w:r>
    </w:p>
    <w:p>
      <w:pPr>
        <w:spacing w:after="0" w:line="176" w:lineRule="exact"/>
        <w:rPr>
          <w:sz w:val="20"/>
          <w:szCs w:val="20"/>
          <w:color w:val="auto"/>
        </w:rPr>
      </w:pPr>
    </w:p>
    <w:p>
      <w:pPr>
        <w:ind w:right="80" w:firstLine="441"/>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including statements about future events, future performance, plans, strategies, expectations, prospects, competitive environment and regulations. Forward-looking statements include all statements that are not historical facts and can be identified by the use of forward-looking terminology such as the words, “may”, “will”, “expect”, “anticipate”, “believe”, “estimate”, “plan”, “intend” or the negative of these terms or similar expressions in this quarterly report on Form 10-Q. We have based these forward-looking statements on our current views with respect to future events and financial performance. Our actual financial performance could differ materially from those projected in the forward-looking statements due to the inherent uncertainty of estimates, forecasts and projections and our financial performance may be better or worse than anticipated. Given these uncertainties, you should not put undue reliance on any forward-looking statements. All of the forward-looking statements are qualified in their entirety by reference to the factors discussed under “Risk Factors”, “Forward-Looking Statements” and elsewhere in our Annual Report on Form 10-K for the year ended December 31, 2025. Forward-looking statements represent our estimates and assumptions only as of the date that they were made. We do not undertake any duty to update forward-looking statements and the estimates and assumptions associated with them, after the date of this quarterly report on Form 10-Q, except to the extent required by applicable securities laws.</w:t>
      </w:r>
    </w:p>
    <w:p>
      <w:pPr>
        <w:spacing w:after="0" w:line="3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Website Access to SEC Reports:</w:t>
      </w:r>
    </w:p>
    <w:p>
      <w:pPr>
        <w:spacing w:after="0" w:line="121"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The Company’s website is www.mastechdigital.com. The Company’s Annual Report on Form 10-K for the year ended December 31, 2025, current reports on Form 8-K and all other reports filed with the SEC, are available free of charge on the Investors page. The website is updated as soon as reasonably practical after such reports are filed electronically with the SEC.</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2025 for a more detailed discussion of our significant accounting policies and critical accounting estimates. There were no material changes to these critical accounting policies during the three months ended March 31, 2026.</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2024 Primentor, Inc. Consulting Agreement</w:t>
      </w:r>
    </w:p>
    <w:p>
      <w:pPr>
        <w:spacing w:after="0" w:line="12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On January 12, 2024, the Company entered into a consulting services agreement with Primentor, Inc. (“Primentor”) under which Primentor provides to the Company strategic advisory and management consulting services, as well as other business and organizational strategy services as requested by the Company’s Board of Directors. The initial term of the agreement is three years, commencing on January 12, 2024. The Company may elect to renew the agreement for successive one-year terms, subject to mutual agreement with Primentor regarding the scope of services and related fees.</w:t>
      </w:r>
    </w:p>
    <w:p>
      <w:pPr>
        <w:spacing w:after="0" w:line="75"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During 2024 and 2025, the Company incurred consulting expenses of approximately $1.1 million and $0.3 million, respectively. The Company expects to incur approximately $0.2 million in consulting expenses during 2026, plus reimbursement of reasonable and documented out-of-pocket expenses incurred by Primentor in rendering such services.</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Transition of the Company’s finance and accounting functions to India:</w:t>
      </w:r>
    </w:p>
    <w:p>
      <w:pPr>
        <w:spacing w:after="0" w:line="121"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During the first quarter of 2025, the Company’s Board of Directors made the decision to implement a long-term cost-cutting initiative to transition the Company’s finance and accounting functions to India. During 2025, the Company incurred $1.2 million of severance costs and $0.7 million of costs related to the duplication of resources and travel expenses during the training and knowledge transfer process. The transition was completed as of December 31, 2025.</w:t>
      </w: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260" w:firstLine="441"/>
        <w:spacing w:after="0" w:line="312" w:lineRule="auto"/>
        <w:rPr>
          <w:sz w:val="20"/>
          <w:szCs w:val="20"/>
          <w:color w:val="auto"/>
        </w:rPr>
      </w:pPr>
      <w:r>
        <w:rPr>
          <w:rFonts w:ascii="Times New Roman" w:cs="Times New Roman" w:eastAsia="Times New Roman" w:hAnsi="Times New Roman"/>
          <w:sz w:val="17"/>
          <w:szCs w:val="17"/>
          <w:color w:val="auto"/>
        </w:rPr>
        <w:t>We are a provider of digital transformation IT services to primarily large and medium-sized organizations. Our portfolio combines project-based professional services with flexible staffing solutions to support our clients’ evolving digital and technology</w:t>
      </w:r>
    </w:p>
    <w:p>
      <w:pPr>
        <w:sectPr>
          <w:pgSz w:w="11900" w:h="16838" w:orient="portrait"/>
          <w:cols w:equalWidth="0" w:num="1">
            <w:col w:w="9720"/>
          </w:cols>
          <w:pgMar w:left="1080" w:top="117" w:right="1099" w:bottom="1440" w:gutter="0" w:footer="0" w:header="0"/>
        </w:sectPr>
      </w:pP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needs.</w:t>
      </w:r>
    </w:p>
    <w:p>
      <w:pPr>
        <w:spacing w:after="0" w:line="225" w:lineRule="exact"/>
        <w:rPr>
          <w:sz w:val="20"/>
          <w:szCs w:val="20"/>
          <w:color w:val="auto"/>
        </w:rPr>
      </w:pPr>
    </w:p>
    <w:p>
      <w:pPr>
        <w:ind w:right="240" w:firstLine="441"/>
        <w:spacing w:after="0" w:line="266" w:lineRule="auto"/>
        <w:rPr>
          <w:sz w:val="20"/>
          <w:szCs w:val="20"/>
          <w:color w:val="auto"/>
        </w:rPr>
      </w:pPr>
      <w:r>
        <w:rPr>
          <w:rFonts w:ascii="Times New Roman" w:cs="Times New Roman" w:eastAsia="Times New Roman" w:hAnsi="Times New Roman"/>
          <w:sz w:val="18"/>
          <w:szCs w:val="18"/>
          <w:color w:val="auto"/>
        </w:rPr>
        <w:t>Effective January 1, 2026, we realigned our reporting structure and now operate through two reportable segments: Talent and Data &amp; AI. This change reflects how management evaluates performance and allocates resources across our core offerings. Prior-period information has been recast to conform to the current presentation.</w:t>
      </w:r>
    </w:p>
    <w:p>
      <w:pPr>
        <w:spacing w:after="0" w:line="176"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Our Data &amp; AI segment is focused on delivering consulting and managed services engagements that help clients design, build, and optimize their data and digital platforms. These offerings are typically delivered on a project or managed services basis and leverage a combination of on-site and offshore delivery capabilities. Our Data &amp; AI capabilities have been developed both organically and through acquisitions, including InfoTrellis in 2017, which expanded our data and analytics expertise, and AmberLeaf in 2020, which strengthened our customer experience and managed services offerings.</w:t>
      </w:r>
    </w:p>
    <w:p>
      <w:pPr>
        <w:spacing w:after="0" w:line="183"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Our Talent segment provides staffing solutions that enable clients to access skilled technology professionals across a broad range of digital and mainstream IT disciplines. These engagements include both direct client relationships and intermediated arrangements through managed service providers and systems integrators. This segment allows clients to scale their technology teams efficiently while maintaining flexibility in response to changing business conditions.</w:t>
      </w:r>
    </w:p>
    <w:p>
      <w:pPr>
        <w:spacing w:after="0" w:line="180" w:lineRule="exact"/>
        <w:rPr>
          <w:sz w:val="20"/>
          <w:szCs w:val="20"/>
          <w:color w:val="auto"/>
        </w:rPr>
      </w:pPr>
    </w:p>
    <w:p>
      <w:pPr>
        <w:ind w:right="540" w:firstLine="441"/>
        <w:spacing w:after="0" w:line="266" w:lineRule="auto"/>
        <w:rPr>
          <w:sz w:val="20"/>
          <w:szCs w:val="20"/>
          <w:color w:val="auto"/>
        </w:rPr>
      </w:pPr>
      <w:r>
        <w:rPr>
          <w:rFonts w:ascii="Times New Roman" w:cs="Times New Roman" w:eastAsia="Times New Roman" w:hAnsi="Times New Roman"/>
          <w:sz w:val="18"/>
          <w:szCs w:val="18"/>
          <w:color w:val="auto"/>
        </w:rPr>
        <w:t>Across both segments, we serve a diversified set of industries, including financial services, government, healthcare, manufacturing, retail, technology, telecommunications, and transportation. Our client base includes organizations with ongoing technology investment needs, as well as those undertaking discrete digital transformation initiatives.</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Data &amp; AI Segment:</w:t>
      </w:r>
    </w:p>
    <w:p>
      <w:pPr>
        <w:spacing w:after="0" w:line="22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We provide information regarding new bookings within our Data &amp; AI segment, which represents the estimated value of client engagements, including renewals and extensions of existing contracts. We believe this metric provides useful insight into trends in the volume of new business over time. New bookings can vary significantly from period to period due to the timing of contract awards, particularly for larger engagements. The conversion of bookings into revenue is influenced by several factors, including the nature and scope of services, contract duration, and the pace of client spending. Additionally, substantially all of our client contracts are terminable by the client on short notice, with little or no termination penalties. New bookings involve estimates and judgments, and there are no third-party standards governing their calculation. Accordingly, bookings should not be considered a substitute for, or comparable to, revenue measures. We do not update previously reported bookings for subsequent contract modifications, terminations, or reductions.</w:t>
      </w:r>
    </w:p>
    <w:p>
      <w:pPr>
        <w:spacing w:after="0" w:line="2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Economic Trends and Outlook:</w:t>
      </w:r>
    </w:p>
    <w:p>
      <w:pPr>
        <w:spacing w:after="0" w:line="229"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Our business outlook is influenced by general economic conditions in North America and globally. Demand for our services, particularly within the Talent segment, is closely tied to employment levels, corporate spending, and overall economic activity. Periods of economic expansion typically lead to increased demand for our services, while periods of economic uncertainty or contraction may result in reduced client spending. In recent periods, economic conditions have been characterized by ongoing uncertainty, including inflationary pressures, interest rate volatility, and evolving trade and immigration policies. These dynamics have contributed to longer client decision-making cycles and more cautious spending patterns.</w:t>
      </w:r>
    </w:p>
    <w:p>
      <w:pPr>
        <w:spacing w:after="0" w:line="187" w:lineRule="exact"/>
        <w:rPr>
          <w:sz w:val="20"/>
          <w:szCs w:val="20"/>
          <w:color w:val="auto"/>
        </w:rPr>
      </w:pPr>
    </w:p>
    <w:p>
      <w:pPr>
        <w:jc w:val="both"/>
        <w:ind w:right="240" w:firstLine="441"/>
        <w:spacing w:after="0" w:line="266" w:lineRule="auto"/>
        <w:rPr>
          <w:sz w:val="20"/>
          <w:szCs w:val="20"/>
          <w:color w:val="auto"/>
        </w:rPr>
      </w:pPr>
      <w:r>
        <w:rPr>
          <w:rFonts w:ascii="Times New Roman" w:cs="Times New Roman" w:eastAsia="Times New Roman" w:hAnsi="Times New Roman"/>
          <w:sz w:val="18"/>
          <w:szCs w:val="18"/>
          <w:color w:val="auto"/>
        </w:rPr>
        <w:t>A significant portion of our revenues is generated from a limited number of clients. As a result, our operating results may be impacted by the financial condition and spending patterns of these clients, which may cause our performance to differ from broader market trends.</w:t>
      </w:r>
    </w:p>
    <w:p>
      <w:pPr>
        <w:spacing w:after="0" w:line="176" w:lineRule="exact"/>
        <w:rPr>
          <w:sz w:val="20"/>
          <w:szCs w:val="20"/>
          <w:color w:val="auto"/>
        </w:rPr>
      </w:pPr>
    </w:p>
    <w:p>
      <w:pPr>
        <w:ind w:right="300" w:firstLine="441"/>
        <w:spacing w:after="0" w:line="282" w:lineRule="auto"/>
        <w:rPr>
          <w:sz w:val="20"/>
          <w:szCs w:val="20"/>
          <w:color w:val="auto"/>
        </w:rPr>
      </w:pPr>
      <w:r>
        <w:rPr>
          <w:rFonts w:ascii="Times New Roman" w:cs="Times New Roman" w:eastAsia="Times New Roman" w:hAnsi="Times New Roman"/>
          <w:sz w:val="18"/>
          <w:szCs w:val="18"/>
          <w:color w:val="auto"/>
        </w:rPr>
        <w:t>Within the Talent segment, a meaningful portion of revenues is generated through relationships with systems integrators and managed service providers (“MSPs”). These arrangements may exert pressure on pricing and margins over time.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March 31, 2026 as Compared to the Three Months Ended March 31, 2025:</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Revenues for the three months ended March 31, 2026 totaled $41.1 million, compared to $48.3 million for the corresponding three-month period in 2025. This 15% year-over-year revenue decrease reflected a 12% revenue decrease in our Talent segment and a 21% decline in our Data &amp; AI segment. For the three months ended March 31, 2026, the Company had one client that had revenues in excess of 10% of total revenues (Fidelity 24.5%). For the three months ended March 31, 2025, the Company had three clients that</w:t>
      </w:r>
    </w:p>
    <w:p>
      <w:pPr>
        <w:sectPr>
          <w:pgSz w:w="11900" w:h="16838" w:orient="portrait"/>
          <w:cols w:equalWidth="0" w:num="1">
            <w:col w:w="9720"/>
          </w:cols>
          <w:pgMar w:left="1080" w:top="117" w:right="109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each had revenues in excess of 10% of total revenues (Fidelity = 12.9%, CGI = 11.9% and Populus = 11.7%). The Company’s top ten clients represented approximately 60% and 56% of total revenues for the three months ended March 31, 2026 and 2025, respectively.</w:t>
      </w:r>
    </w:p>
    <w:p>
      <w:pPr>
        <w:spacing w:after="0" w:line="302" w:lineRule="exact"/>
        <w:rPr>
          <w:sz w:val="20"/>
          <w:szCs w:val="20"/>
          <w:color w:val="auto"/>
        </w:rPr>
      </w:pPr>
    </w:p>
    <w:p>
      <w:pPr>
        <w:ind w:right="520" w:firstLine="441"/>
        <w:spacing w:after="0" w:line="282" w:lineRule="auto"/>
        <w:rPr>
          <w:sz w:val="20"/>
          <w:szCs w:val="20"/>
          <w:color w:val="auto"/>
        </w:rPr>
      </w:pPr>
      <w:r>
        <w:rPr>
          <w:rFonts w:ascii="Times New Roman" w:cs="Times New Roman" w:eastAsia="Times New Roman" w:hAnsi="Times New Roman"/>
          <w:sz w:val="18"/>
          <w:szCs w:val="18"/>
          <w:color w:val="auto"/>
        </w:rPr>
        <w:t>Below is a tabular presentation of revenues by reportable segment for the three months ended March 31, 2026 and 2025, respectively:</w:t>
      </w:r>
    </w:p>
    <w:p>
      <w:pPr>
        <w:spacing w:after="0" w:line="170"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(Amounts in millions)</w:t>
            </w:r>
          </w:p>
        </w:tc>
        <w:tc>
          <w:tcPr>
            <w:tcW w:w="120" w:type="dxa"/>
            <w:vAlign w:val="bottom"/>
          </w:tcPr>
          <w:p>
            <w:pPr>
              <w:spacing w:after="0"/>
              <w:rPr>
                <w:sz w:val="13"/>
                <w:szCs w:val="13"/>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3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Data &amp; AI</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Talent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0"/>
        </w:trPr>
        <w:tc>
          <w:tcPr>
            <w:tcW w:w="37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4237355</wp:posOffset>
            </wp:positionH>
            <wp:positionV relativeFrom="paragraph">
              <wp:posOffset>-25400</wp:posOffset>
            </wp:positionV>
            <wp:extent cx="431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-7620</wp:posOffset>
            </wp:positionV>
            <wp:extent cx="431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-25400</wp:posOffset>
            </wp:positionV>
            <wp:extent cx="431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-7620</wp:posOffset>
            </wp:positionV>
            <wp:extent cx="431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18"/>
          <w:szCs w:val="18"/>
          <w:color w:val="auto"/>
        </w:rPr>
        <w:t>Revenues from our Data &amp; AI segment totaled $12.6 million in the three months ended March 31, 2026, which decreased compared to $16.0 million in the corresponding period last year. The year-over-year decrease in revenues primarily reflects softer demand and slower client decision-making cycles for new projects in 2026. New bookings in the first quarter of 2026 totaled approximately $13.6 million, compared to bookings of $15.3 million in the first quarter of 2025, reflecting continued caution among clients with respect to discretionary spending amid macroeconomic uncertainty.</w:t>
      </w:r>
    </w:p>
    <w:p>
      <w:pPr>
        <w:spacing w:after="0" w:line="183"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Revenues from our Talent segment totaled $28.5 million in the three months ended March 31, 2026, compared to $32.3 million during the corresponding 2025 period. The year-over-year decline in revenue primarily reflects lower billable consultants in 2026. Billable consultants at March 31, 2026 totaled 619-consultants compared to 782-consultants one year earlier. Our average bill rate during the first quarter of 2026 was $90.91 per hour compared to $87.82 per hour in the corresponding 2025 quarter. The increase in average bill rate was due to higher value assignments during the first quarter of 2026 and was reflective of the types of skill sets that we deployed to clients.</w:t>
      </w:r>
    </w:p>
    <w:p>
      <w:pPr>
        <w:spacing w:after="0" w:line="2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Margins:</w:t>
      </w:r>
    </w:p>
    <w:p>
      <w:pPr>
        <w:spacing w:after="0" w:line="2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Gross profits in the first quarter of 2026 totaled $11.0 million, which was $1.9 million lower than the first quarter of 2025 gross profits. Gross profit as a percentage of revenue was 26.8% for the three-month period ended March 31, 2026, compared to 26.7% during the same period of 2025. This 10-basis point reduction in gross margins reflected higher margins in our Talent segment, offset by lower margins from our Data &amp; AI segment during the current quarter.</w:t>
      </w:r>
    </w:p>
    <w:p>
      <w:pPr>
        <w:spacing w:after="0" w:line="189" w:lineRule="exact"/>
        <w:rPr>
          <w:sz w:val="20"/>
          <w:szCs w:val="20"/>
          <w:color w:val="auto"/>
        </w:rPr>
      </w:pPr>
    </w:p>
    <w:p>
      <w:pPr>
        <w:ind w:right="300" w:firstLine="441"/>
        <w:spacing w:after="0" w:line="282" w:lineRule="auto"/>
        <w:rPr>
          <w:sz w:val="20"/>
          <w:szCs w:val="20"/>
          <w:color w:val="auto"/>
        </w:rPr>
      </w:pPr>
      <w:r>
        <w:rPr>
          <w:rFonts w:ascii="Times New Roman" w:cs="Times New Roman" w:eastAsia="Times New Roman" w:hAnsi="Times New Roman"/>
          <w:sz w:val="18"/>
          <w:szCs w:val="18"/>
          <w:color w:val="auto"/>
        </w:rPr>
        <w:t>Below is a tabular presentation of gross margin by reporting segment for the three months ended March 31, 2026 and 2025, respectively:</w:t>
      </w:r>
    </w:p>
    <w:p>
      <w:pPr>
        <w:spacing w:after="0" w:line="170"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0" w:type="dxa"/>
            <w:vAlign w:val="bottom"/>
          </w:tcPr>
          <w:p>
            <w:pPr>
              <w:spacing w:after="0"/>
              <w:rPr>
                <w:sz w:val="13"/>
                <w:szCs w:val="13"/>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34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Data &amp; AI</w:t>
            </w:r>
          </w:p>
        </w:tc>
        <w:tc>
          <w:tcPr>
            <w:tcW w:w="17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37.2%</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Talent</w:t>
            </w:r>
          </w:p>
        </w:tc>
        <w:tc>
          <w:tcPr>
            <w:tcW w:w="10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gross margin</w:t>
            </w:r>
          </w:p>
        </w:tc>
        <w:tc>
          <w:tcPr>
            <w:tcW w:w="1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26.8%</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0"/>
        </w:trPr>
        <w:tc>
          <w:tcPr>
            <w:tcW w:w="34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4083050</wp:posOffset>
            </wp:positionH>
            <wp:positionV relativeFrom="paragraph">
              <wp:posOffset>-24765</wp:posOffset>
            </wp:positionV>
            <wp:extent cx="1111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-7620</wp:posOffset>
            </wp:positionV>
            <wp:extent cx="1111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5137150</wp:posOffset>
            </wp:positionH>
            <wp:positionV relativeFrom="paragraph">
              <wp:posOffset>-24765</wp:posOffset>
            </wp:positionV>
            <wp:extent cx="1111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5137150</wp:posOffset>
            </wp:positionH>
            <wp:positionV relativeFrom="paragraph">
              <wp:posOffset>-7620</wp:posOffset>
            </wp:positionV>
            <wp:extent cx="1111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Gross margins from our Data &amp; AI segment were 37.2% of revenues during the first quarter of 2026, which represented a decrease of 50-basis points compared to 37.7% of revenues during the first quarter of 2025. The margin reduction was primarily the result of a lower utilization rate in the 2026 quarter compared to the first quarter of 2025.</w:t>
      </w:r>
    </w:p>
    <w:p>
      <w:pPr>
        <w:spacing w:after="0" w:line="176" w:lineRule="exact"/>
        <w:rPr>
          <w:sz w:val="20"/>
          <w:szCs w:val="20"/>
          <w:color w:val="auto"/>
        </w:rPr>
      </w:pPr>
    </w:p>
    <w:p>
      <w:pPr>
        <w:jc w:val="both"/>
        <w:ind w:right="180" w:firstLine="441"/>
        <w:spacing w:after="0" w:line="312" w:lineRule="auto"/>
        <w:rPr>
          <w:sz w:val="20"/>
          <w:szCs w:val="20"/>
          <w:color w:val="auto"/>
        </w:rPr>
      </w:pPr>
      <w:r>
        <w:rPr>
          <w:rFonts w:ascii="Times New Roman" w:cs="Times New Roman" w:eastAsia="Times New Roman" w:hAnsi="Times New Roman"/>
          <w:sz w:val="17"/>
          <w:szCs w:val="17"/>
          <w:color w:val="auto"/>
        </w:rPr>
        <w:t>Gross margins from our Talent segment were 22.2% in the first quarter of 2026 compared to 21.2% during the corresponding quarter of 2025. This 100-basis point increase was due to higher quality placements and better pricing on new assignments in 2026.</w:t>
      </w:r>
    </w:p>
    <w:p>
      <w:pPr>
        <w:spacing w:after="0" w:line="1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40"/>
          </w:cols>
          <w:pgMar w:left="1080" w:top="117" w:right="11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p>
    <w:p>
      <w:pPr>
        <w:spacing w:after="0" w:line="227"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Below is a tabular presentation of operating expenses by expense category for the three months ended March 31, 2026 and 2025, respectively:</w:t>
      </w:r>
    </w:p>
    <w:p>
      <w:pPr>
        <w:spacing w:after="0" w:line="170"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3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SG&amp;A Expenses (Amounts in millions)</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190"/>
        </w:trPr>
        <w:tc>
          <w:tcPr>
            <w:tcW w:w="1520" w:type="dxa"/>
            <w:vAlign w:val="bottom"/>
            <w:tcBorders>
              <w:bottom w:val="single" w:sz="8" w:color="auto"/>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Data &amp; AI Segment</w:t>
            </w:r>
          </w:p>
        </w:tc>
        <w:tc>
          <w:tcPr>
            <w:tcW w:w="20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spacing w:after="0"/>
              <w:rPr>
                <w:sz w:val="16"/>
                <w:szCs w:val="16"/>
                <w:color w:val="auto"/>
              </w:rPr>
            </w:pPr>
          </w:p>
        </w:tc>
        <w:tc>
          <w:tcPr>
            <w:tcW w:w="1200" w:type="dxa"/>
            <w:vAlign w:val="bottom"/>
            <w:tcBorders>
              <w:top w:val="single" w:sz="8" w:color="auto"/>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spacing w:after="0"/>
              <w:rPr>
                <w:sz w:val="16"/>
                <w:szCs w:val="16"/>
                <w:color w:val="auto"/>
              </w:rPr>
            </w:pPr>
          </w:p>
        </w:tc>
        <w:tc>
          <w:tcPr>
            <w:tcW w:w="1260" w:type="dxa"/>
            <w:vAlign w:val="bottom"/>
            <w:tcBorders>
              <w:top w:val="single" w:sz="8" w:color="auto"/>
              <w:bottom w:val="single" w:sz="8" w:color="CFF0FC"/>
              <w:right w:val="single" w:sz="8" w:color="CFF0FC"/>
            </w:tcBorders>
            <w:shd w:val="clear" w:color="auto" w:fill="CFF0FC"/>
          </w:tcPr>
          <w:p>
            <w:pPr>
              <w:spacing w:after="0"/>
              <w:rPr>
                <w:sz w:val="16"/>
                <w:szCs w:val="16"/>
                <w:color w:val="auto"/>
              </w:rPr>
            </w:pPr>
          </w:p>
        </w:tc>
      </w:tr>
      <w:tr>
        <w:trPr>
          <w:trHeight w:val="216"/>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9"/>
        </w:trPr>
        <w:tc>
          <w:tcPr>
            <w:tcW w:w="35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Subtotal Data &amp; AI</w:t>
            </w:r>
          </w:p>
        </w:tc>
        <w:tc>
          <w:tcPr>
            <w:tcW w:w="5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3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r>
      <w:tr>
        <w:trPr>
          <w:trHeight w:val="156"/>
        </w:trPr>
        <w:tc>
          <w:tcPr>
            <w:tcW w:w="3520" w:type="dxa"/>
            <w:vAlign w:val="bottom"/>
            <w:tcBorders>
              <w:top w:val="single" w:sz="8" w:color="CFF0FC"/>
            </w:tcBorders>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Talent Segment</w:t>
            </w:r>
          </w:p>
        </w:tc>
        <w:tc>
          <w:tcPr>
            <w:tcW w:w="36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r>
      <w:tr>
        <w:trPr>
          <w:trHeight w:val="20"/>
        </w:trPr>
        <w:tc>
          <w:tcPr>
            <w:tcW w:w="12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3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Operations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52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3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35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Subtotal Talent</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r>
      <w:tr>
        <w:trPr>
          <w:trHeight w:val="20"/>
        </w:trPr>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3520" w:type="dxa"/>
            <w:vAlign w:val="bottom"/>
            <w:gridSpan w:val="3"/>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Amortization of Acquired Intangible Assets</w:t>
            </w:r>
          </w:p>
        </w:tc>
        <w:tc>
          <w:tcPr>
            <w:tcW w:w="500" w:type="dxa"/>
            <w:vAlign w:val="bottom"/>
            <w:gridSpan w:val="2"/>
            <w:shd w:val="clear" w:color="auto" w:fill="CFF0FC"/>
          </w:tcPr>
          <w:p>
            <w:pPr>
              <w:ind w:left="3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0.6</w:t>
            </w:r>
          </w:p>
        </w:tc>
        <w:tc>
          <w:tcPr>
            <w:tcW w:w="320" w:type="dxa"/>
            <w:vAlign w:val="bottom"/>
            <w:gridSpan w:val="2"/>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0.6</w:t>
            </w:r>
          </w:p>
        </w:tc>
      </w:tr>
      <w:tr>
        <w:trPr>
          <w:trHeight w:val="216"/>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Severance Expense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6"/>
        </w:trPr>
        <w:tc>
          <w:tcPr>
            <w:tcW w:w="35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SG&amp;A Expenses</w:t>
            </w:r>
          </w:p>
        </w:tc>
        <w:tc>
          <w:tcPr>
            <w:tcW w:w="5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3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r>
      <w:tr>
        <w:trPr>
          <w:trHeight w:val="20"/>
        </w:trPr>
        <w:tc>
          <w:tcPr>
            <w:tcW w:w="1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right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4237355</wp:posOffset>
            </wp:positionH>
            <wp:positionV relativeFrom="paragraph">
              <wp:posOffset>-1182370</wp:posOffset>
            </wp:positionV>
            <wp:extent cx="431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-1165225</wp:posOffset>
            </wp:positionV>
            <wp:extent cx="431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-1182370</wp:posOffset>
            </wp:positionV>
            <wp:extent cx="431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-1165225</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-607695</wp:posOffset>
            </wp:positionV>
            <wp:extent cx="431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-607695</wp:posOffset>
            </wp:positionV>
            <wp:extent cx="431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-25400</wp:posOffset>
            </wp:positionV>
            <wp:extent cx="431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-7620</wp:posOffset>
            </wp:positionV>
            <wp:extent cx="431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-25400</wp:posOffset>
            </wp:positionV>
            <wp:extent cx="431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-7620</wp:posOffset>
            </wp:positionV>
            <wp:extent cx="431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SG&amp;A expenses for the three months ended March 31, 2026, totaled $11.0 million or 26.8% of total revenues, compared to $14.7 million or 30.4% of total revenues for the three months ended March 31, 2025. Excluding the severance expense in the 2025 period and the amortization of acquired intangible assets in both periods, SG&amp;A expense as a percentage of total revenues would have been 25.3% and 26.3%, respectively.</w:t>
      </w:r>
    </w:p>
    <w:p>
      <w:pPr>
        <w:spacing w:after="0" w:line="180"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Fluctuations within SG&amp;A expense components during the first quarter of 2026, compared to the first quarter of 2025, included the following:</w:t>
      </w:r>
    </w:p>
    <w:p>
      <w:pPr>
        <w:spacing w:after="0" w:line="54" w:lineRule="exact"/>
        <w:rPr>
          <w:sz w:val="20"/>
          <w:szCs w:val="20"/>
          <w:color w:val="auto"/>
        </w:rPr>
      </w:pPr>
    </w:p>
    <w:p>
      <w:pPr>
        <w:ind w:left="760" w:right="140" w:hanging="315"/>
        <w:spacing w:after="0" w:line="26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expense was $1.5 million lower in the 2026 period compared to the corresponding 2025 period. Sales and marketing expense in our Data &amp; AI segment decreased by $0.6 million, driven primarily by lower payroll and related costs. Sales and marketing expense in our Talent segment decreased by $0.9 million, resulting from lower payroll and related costs, as well as reduced marketing spend.</w:t>
      </w:r>
    </w:p>
    <w:p>
      <w:pPr>
        <w:spacing w:after="0" w:line="71" w:lineRule="exact"/>
        <w:rPr>
          <w:rFonts w:ascii="Times New Roman" w:cs="Times New Roman" w:eastAsia="Times New Roman" w:hAnsi="Times New Roman"/>
          <w:sz w:val="18"/>
          <w:szCs w:val="18"/>
          <w:color w:val="auto"/>
        </w:rPr>
      </w:pPr>
    </w:p>
    <w:p>
      <w:pPr>
        <w:ind w:left="760" w:right="20" w:hanging="315"/>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expenses decreased by $0.4 million in the 2026 period compared to the corresponding 2025 period. Operations expense increased by $0.3 million in our Data &amp; AI segment due to AI related personnel investments and decreased by $0.7 million in our Talent segment due to staff reductions.</w:t>
      </w:r>
    </w:p>
    <w:p>
      <w:pPr>
        <w:spacing w:after="0" w:line="67" w:lineRule="exact"/>
        <w:rPr>
          <w:rFonts w:ascii="Times New Roman" w:cs="Times New Roman" w:eastAsia="Times New Roman" w:hAnsi="Times New Roman"/>
          <w:sz w:val="18"/>
          <w:szCs w:val="18"/>
          <w:color w:val="auto"/>
        </w:rPr>
      </w:pPr>
    </w:p>
    <w:p>
      <w:pPr>
        <w:ind w:left="760" w:right="280" w:hanging="315"/>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decreased by $0.4 million in the 2026 period compared to the corresponding 2025 period. General and administrative expenses in our Data &amp; AI segment decreased by $0.4 million primarily due to lower payroll and related costs in the 2026 period. In our Talent segment, general and administrative expenses remained flat.</w:t>
      </w:r>
    </w:p>
    <w:p>
      <w:pPr>
        <w:spacing w:after="0" w:line="67" w:lineRule="exact"/>
        <w:rPr>
          <w:rFonts w:ascii="Times New Roman" w:cs="Times New Roman" w:eastAsia="Times New Roman" w:hAnsi="Times New Roman"/>
          <w:sz w:val="18"/>
          <w:szCs w:val="18"/>
          <w:color w:val="auto"/>
        </w:rPr>
      </w:pPr>
    </w:p>
    <w:p>
      <w:pPr>
        <w:ind w:left="760" w:hanging="315"/>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was $0.6 million in both the 2026 period and the corresponding 2025 period.</w:t>
      </w:r>
    </w:p>
    <w:p>
      <w:pPr>
        <w:spacing w:after="0" w:line="117" w:lineRule="exact"/>
        <w:rPr>
          <w:rFonts w:ascii="Times New Roman" w:cs="Times New Roman" w:eastAsia="Times New Roman" w:hAnsi="Times New Roman"/>
          <w:sz w:val="18"/>
          <w:szCs w:val="18"/>
          <w:color w:val="auto"/>
        </w:rPr>
      </w:pPr>
    </w:p>
    <w:p>
      <w:pPr>
        <w:ind w:left="760" w:right="220" w:hanging="315"/>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expense included in SG&amp;A was $1.4 million in the 2025 period, compared to no severance expense in the first quarter of 2026. The expense related to the Company's exiting Chief Financial Officer.</w:t>
      </w: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Other Income / (Expense) Components:</w:t>
      </w:r>
    </w:p>
    <w:p>
      <w:pPr>
        <w:spacing w:after="0" w:line="119" w:lineRule="exact"/>
        <w:rPr>
          <w:sz w:val="20"/>
          <w:szCs w:val="20"/>
          <w:color w:val="auto"/>
        </w:rPr>
      </w:pPr>
    </w:p>
    <w:p>
      <w:pPr>
        <w:ind w:right="180" w:firstLine="441"/>
        <w:spacing w:after="0" w:line="261" w:lineRule="auto"/>
        <w:rPr>
          <w:sz w:val="20"/>
          <w:szCs w:val="20"/>
          <w:color w:val="auto"/>
        </w:rPr>
      </w:pPr>
      <w:r>
        <w:rPr>
          <w:rFonts w:ascii="Times New Roman" w:cs="Times New Roman" w:eastAsia="Times New Roman" w:hAnsi="Times New Roman"/>
          <w:sz w:val="18"/>
          <w:szCs w:val="18"/>
          <w:color w:val="auto"/>
        </w:rPr>
        <w:t>Other Income / (Expense) for the three months ended March 31, 2026, consisted of interest income of $288,000 and foreign exchange gains of $319,000. For the three months ended March 31, 2025, Other Income / (Expense) consisted of interest income of $115,000 and foreign exchange losses of ($24,000). The higher level of interest income was reflective of higher cash balances in the 2026 period.</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jc w:val="both"/>
        <w:ind w:right="40" w:firstLine="441"/>
        <w:spacing w:after="0" w:line="261" w:lineRule="auto"/>
        <w:rPr>
          <w:sz w:val="20"/>
          <w:szCs w:val="20"/>
          <w:color w:val="auto"/>
        </w:rPr>
      </w:pPr>
      <w:r>
        <w:rPr>
          <w:rFonts w:ascii="Times New Roman" w:cs="Times New Roman" w:eastAsia="Times New Roman" w:hAnsi="Times New Roman"/>
          <w:sz w:val="18"/>
          <w:szCs w:val="18"/>
          <w:color w:val="auto"/>
        </w:rPr>
        <w:t>Income tax expense for the three months ended March 31, 2026, totaled $393,000, representing an effective tax rate on pre-tax income of 59.8%, compared to ($323,000) benefit for the three months ended March 31, 2025, which represented an effective tax rate on a pre-tax loss of 18.3%. The main driver for the higher tax rate in the 2026 period is the shortfall in the expected benefit from stock options, and disallowed executive compensation.</w:t>
      </w:r>
    </w:p>
    <w:p>
      <w:pPr>
        <w:sectPr>
          <w:pgSz w:w="11900" w:h="16838" w:orient="portrait"/>
          <w:cols w:equalWidth="0" w:num="1">
            <w:col w:w="9720"/>
          </w:cols>
          <w:pgMar w:left="1080" w:top="117" w:right="109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Financial Conditions and Liquidity:</w:t>
      </w:r>
    </w:p>
    <w:p>
      <w:pPr>
        <w:spacing w:after="0" w:line="119" w:lineRule="exact"/>
        <w:rPr>
          <w:sz w:val="20"/>
          <w:szCs w:val="20"/>
          <w:color w:val="auto"/>
        </w:rPr>
      </w:pPr>
    </w:p>
    <w:p>
      <w:pPr>
        <w:ind w:right="620" w:firstLine="441"/>
        <w:spacing w:after="0" w:line="282" w:lineRule="auto"/>
        <w:rPr>
          <w:sz w:val="20"/>
          <w:szCs w:val="20"/>
          <w:color w:val="auto"/>
        </w:rPr>
      </w:pPr>
      <w:r>
        <w:rPr>
          <w:rFonts w:ascii="Times New Roman" w:cs="Times New Roman" w:eastAsia="Times New Roman" w:hAnsi="Times New Roman"/>
          <w:sz w:val="18"/>
          <w:szCs w:val="18"/>
          <w:color w:val="auto"/>
        </w:rPr>
        <w:t>As of March 31, 2026, we had no bank debt, cash balances on hand of $33.6 million and approximately $21.3 million of borrowing capacity under our existing credit facility.</w:t>
      </w:r>
    </w:p>
    <w:p>
      <w:pPr>
        <w:spacing w:after="0" w:line="162"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Historically, we have funded our organic business needs with cash generated from operating activities. Controlling our operating working capital levels by closely managing our accounts receivable balance is an important element of cash generation. As of March 31, 2026, our accounts receivable “days sales outstanding” (“DSOs”) increased to 60-days, compared to 56-days reported at March 31, 2025.</w:t>
      </w:r>
    </w:p>
    <w:p>
      <w:pPr>
        <w:spacing w:after="0" w:line="180"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We believe that cash provided by operating activities, cash balances on hand and current availability under our credit facility will be adequate to fund our business needs and support our share repurchase program that we announced in February 2026 over the next twelve months, absent any acquisition-related activities.</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flows provided by (used in) operating activities:</w:t>
      </w:r>
    </w:p>
    <w:p>
      <w:pPr>
        <w:spacing w:after="0" w:line="227"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March 31, 2026, totaled ($3.2) million compared to ($2.9) million during the three months ended March 31, 2025. Operating cash flows for the 2026 period were driven by net income of $0.3 million, non-cash charges of $2.3 million, and a ($5.7) million use of cash from changes in operating working capital. The use of cash from working capital was primarily attributable to a decrease in accrued payroll and related costs, reflecting the timing of annual bonus payments, as well as an increase in accounts receivable. In the prior year period, cash (used in) operating activities reflected a net loss of ($1.4) million, non-cash charges of $2.0 million, and a ($3.5) million use of cash from changes in operating working capital. Working capital changes in 2025 were similarly driven by higher accounts receivable and the timing of compensation-related payments.</w:t>
      </w:r>
    </w:p>
    <w:p>
      <w:pPr>
        <w:spacing w:after="0" w:line="2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19" w:lineRule="exact"/>
        <w:rPr>
          <w:sz w:val="20"/>
          <w:szCs w:val="20"/>
          <w:color w:val="auto"/>
        </w:rPr>
      </w:pPr>
    </w:p>
    <w:p>
      <w:pPr>
        <w:ind w:right="540" w:firstLine="441"/>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($0.1) million in both the three months ended March 31, 2026 and 2025. Investing activities in both periods consisted primarily of capital expenditures and changes in non-current deposits.</w:t>
      </w: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flows provided by (used in) financing activities:</w:t>
      </w:r>
    </w:p>
    <w:p>
      <w:pPr>
        <w:spacing w:after="0" w:line="119"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2026 totaled $0.7 million and consisted primarily of proceeds from the exercise of stock options. Cash provided by financing activities for the three months ended March 31, 2025, was minimal and consisted of proceeds from the issuance of common shares.</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19"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Other than $324,000 in outstanding letters of credit issued under our Credit Agreement, we do not have any off-balance sheet arrangements. For further details about the outstanding letters of credit, refer to Note 8 — “Credit Facility” in the Notes to Condensed Consolidated Financial Statements included herein.</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19"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We do not believe that inflation had a significant impact on our results of operations for the periods presented, although economic uncertainty, including the concerns of our clients and other companies with respect to inflationary conditions in North America and elsewhere, has had and may continue to have an adverse impact on the demand for our services. On an ongoing basis, we attempt to minimize any effects of inflation on our operating results by controlling operating costs and, whenever possible, seek to ensure that billing rates reflect increases in costs due to inflation. However, high levels of inflation may result in higher interest rates which could increase our borrowing costs in the future if we elect to draw on our current or future credit facilities.</w:t>
      </w:r>
    </w:p>
    <w:p>
      <w:pPr>
        <w:spacing w:after="0" w:line="187"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In addition, refer to “Item 1A. Risk factors” in our 2025 Annual Report on Form 10-K for a discussion about risks that inflation directly or indirectly may pose to our business.</w:t>
      </w:r>
    </w:p>
    <w:p>
      <w:pPr>
        <w:sectPr>
          <w:pgSz w:w="11900" w:h="16838" w:orient="portrait"/>
          <w:cols w:equalWidth="0" w:num="1">
            <w:col w:w="9720"/>
          </w:cols>
          <w:pgMar w:left="1080" w:top="117" w:right="109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Our consultants’ billable hours are affected by national holidays and vacation policies. Accordingly, we generally have lower utilization rates and higher benefit costs during the fourth quarter. Additionally, assignment completions tend to be higher near the end of the calendar year, which largely impacts our revenue and gross profit performance during the subsequent quarter.</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Recent accounting pronouncements are described in Note 13 to the accompanying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360" w:firstLine="441"/>
        <w:spacing w:after="0" w:line="282" w:lineRule="auto"/>
        <w:rPr>
          <w:sz w:val="20"/>
          <w:szCs w:val="20"/>
          <w:color w:val="auto"/>
        </w:rPr>
      </w:pPr>
      <w:r>
        <w:rPr>
          <w:rFonts w:ascii="Times New Roman" w:cs="Times New Roman" w:eastAsia="Times New Roman" w:hAnsi="Times New Roman"/>
          <w:sz w:val="18"/>
          <w:szCs w:val="18"/>
          <w:color w:val="auto"/>
        </w:rPr>
        <w:t>In addition to the inherent operational risks, the Company is exposed to certain market risks, primarily related to changes in interest rates and currency fluctuations.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121"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As of March 31, 2026, we had no outstanding borrowings under the Credit Agreements — Refer to Note 8 — “Credit Facility” in the Notes to Condensed Consolidated Financial Statements, included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121"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The reporting currency of the Company and its subsidiaries is the U.S. dollar. The functional currency of the Company’s subsidiary in Canada is the U.S. dollar because the majority of its revenue is denominated in U.S. dollars. The functional currencies of the Company’s Indian and European subsidiaries are the local currency of the location of such subsidiary.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Condensed Consolidated Statements of Operations, and have not been material for all periods presented. A hypothetical 10% increase or decrease in overall foreign currency rates in the first six months of 2025 would not have had a material impact on our consolidated financial statements.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83"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carried out an evaluation, under the supervision and with the participation of Company management, including the Chief Executive Officer and the Chief Financial Officer, of the effectiveness of the design and operation of the Company’s disclosure controls and procedures pursuant to Exchange Act Rules 13a-15(b). Based upon that evaluation, the Chief Executive Officer and the Chief Financial Officer concluded that the Company’s disclosure controls and procedures were effective.</w:t>
      </w:r>
    </w:p>
    <w:p>
      <w:pPr>
        <w:spacing w:after="0" w:line="183"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March 31, 2026 that materially affected, or are reasonably likely to materially affect, our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are involved in a number of lawsuits and administrative proceedings. While uncertainties are inherent in the final outcome of these matters, management believes, after consultation with legal counsel, that the disposition of these proceedings should not have a material adverse effect on our financial position, results of operations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as previously disclosed in our Annual Report on Form 10-K for the year ended December 31, 2025, filed with the SEC on March 18,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our Common Stock repurchased during the quarter ended March 31, 2026 is set forth in the following table:</w:t>
      </w:r>
    </w:p>
    <w:p>
      <w:pPr>
        <w:spacing w:after="0" w:line="233"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60" w:type="dxa"/>
            <w:vAlign w:val="bottom"/>
          </w:tcPr>
          <w:p>
            <w:pPr>
              <w:spacing w:after="0"/>
              <w:rPr>
                <w:sz w:val="13"/>
                <w:szCs w:val="13"/>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2"/>
                <w:szCs w:val="12"/>
                <w:color w:val="auto"/>
              </w:rPr>
            </w:pPr>
          </w:p>
        </w:tc>
        <w:tc>
          <w:tcPr>
            <w:tcW w:w="13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6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60" w:type="dxa"/>
            <w:vAlign w:val="bottom"/>
          </w:tcPr>
          <w:p>
            <w:pPr>
              <w:spacing w:after="0"/>
              <w:rPr>
                <w:sz w:val="12"/>
                <w:szCs w:val="12"/>
                <w:color w:val="auto"/>
              </w:rPr>
            </w:pPr>
          </w:p>
        </w:tc>
        <w:tc>
          <w:tcPr>
            <w:tcW w:w="13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Yet Be</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60" w:type="dxa"/>
            <w:vAlign w:val="bottom"/>
          </w:tcPr>
          <w:p>
            <w:pPr>
              <w:spacing w:after="0"/>
              <w:rPr>
                <w:sz w:val="12"/>
                <w:szCs w:val="12"/>
                <w:color w:val="auto"/>
              </w:rPr>
            </w:pPr>
          </w:p>
        </w:tc>
        <w:tc>
          <w:tcPr>
            <w:tcW w:w="13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160" w:type="dxa"/>
            <w:vAlign w:val="bottom"/>
          </w:tcPr>
          <w:p>
            <w:pPr>
              <w:spacing w:after="0"/>
              <w:rPr>
                <w:sz w:val="12"/>
                <w:szCs w:val="12"/>
                <w:color w:val="auto"/>
              </w:rPr>
            </w:pPr>
          </w:p>
        </w:tc>
        <w:tc>
          <w:tcPr>
            <w:tcW w:w="13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 this Plan</w:t>
            </w:r>
          </w:p>
        </w:tc>
        <w:tc>
          <w:tcPr>
            <w:tcW w:w="0" w:type="dxa"/>
            <w:vAlign w:val="bottom"/>
          </w:tcPr>
          <w:p>
            <w:pPr>
              <w:spacing w:after="0"/>
              <w:rPr>
                <w:sz w:val="1"/>
                <w:szCs w:val="1"/>
                <w:color w:val="auto"/>
              </w:rPr>
            </w:pPr>
          </w:p>
        </w:tc>
      </w:tr>
      <w:tr>
        <w:trPr>
          <w:trHeight w:val="173"/>
        </w:trPr>
        <w:tc>
          <w:tcPr>
            <w:tcW w:w="3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Share (1)</w:t>
            </w:r>
          </w:p>
        </w:tc>
        <w:tc>
          <w:tcPr>
            <w:tcW w:w="18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16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1, 2026 — January 31, 2026</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123,556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2026 — February 8, 2026</w:t>
            </w:r>
          </w:p>
        </w:tc>
        <w:tc>
          <w:tcPr>
            <w:tcW w:w="100" w:type="dxa"/>
            <w:vAlign w:val="bottom"/>
          </w:tcPr>
          <w:p>
            <w:pPr>
              <w:spacing w:after="0"/>
              <w:rPr>
                <w:sz w:val="18"/>
                <w:szCs w:val="18"/>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123,556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123,556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8229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1" w:lineRule="exact"/>
        <w:rPr>
          <w:sz w:val="20"/>
          <w:szCs w:val="20"/>
          <w:color w:val="auto"/>
        </w:rPr>
      </w:pPr>
    </w:p>
    <w:p>
      <w:pPr>
        <w:ind w:left="880" w:right="40" w:hanging="436"/>
        <w:spacing w:after="0" w:line="254"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8, 2023, the Company announced that the Board of Directors authorized a share repurchase program of up to 500,000 shares of Common Stock over a two-year period. Repurchases under the program may occur from time to time in the open market, through privately negotiated transactions, through block purchases or other purchase techniques (including Rule 10b5-1 programs), or by any combination of such methods, and the program may be modified, suspended or terminated at any time at the discretion of the Board of Directors. On February 19, 2025, the Company announced that the Board of Directors had authorized an extension of its previously announced share repurchase program for an additional year through February 8, 2026. The Company did not repurchase any shares of its Common Stock in 2026, and on February 8, 2026, this share repurchase program expired by its terms.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Dollars that May</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Yet Be Used</w:t>
            </w:r>
          </w:p>
        </w:tc>
        <w:tc>
          <w:tcPr>
            <w:tcW w:w="0" w:type="dxa"/>
            <w:vAlign w:val="bottom"/>
          </w:tcPr>
          <w:p>
            <w:pPr>
              <w:spacing w:after="0"/>
              <w:rPr>
                <w:sz w:val="1"/>
                <w:szCs w:val="1"/>
                <w:color w:val="auto"/>
              </w:rPr>
            </w:pPr>
          </w:p>
        </w:tc>
      </w:tr>
      <w:tr>
        <w:trPr>
          <w:trHeight w:val="149"/>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 this Plan</w:t>
            </w:r>
          </w:p>
        </w:tc>
        <w:tc>
          <w:tcPr>
            <w:tcW w:w="0" w:type="dxa"/>
            <w:vAlign w:val="bottom"/>
          </w:tcPr>
          <w:p>
            <w:pPr>
              <w:spacing w:after="0"/>
              <w:rPr>
                <w:sz w:val="1"/>
                <w:szCs w:val="1"/>
                <w:color w:val="auto"/>
              </w:rPr>
            </w:pPr>
          </w:p>
        </w:tc>
      </w:tr>
      <w:tr>
        <w:trPr>
          <w:trHeight w:val="173"/>
        </w:trPr>
        <w:tc>
          <w:tcPr>
            <w:tcW w:w="41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(2)</w:t>
            </w:r>
          </w:p>
        </w:tc>
        <w:tc>
          <w:tcPr>
            <w:tcW w:w="22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 (2)</w:t>
            </w:r>
          </w:p>
        </w:tc>
        <w:tc>
          <w:tcPr>
            <w:tcW w:w="2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Borders>
              <w:bottom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Programs (2)</w:t>
            </w:r>
          </w:p>
        </w:tc>
        <w:tc>
          <w:tcPr>
            <w:tcW w:w="2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16, 2026 — February 28, 2026</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March 1, 2026 — March 31, 2026</w:t>
            </w:r>
          </w:p>
        </w:tc>
        <w:tc>
          <w:tcPr>
            <w:tcW w:w="12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880" w:right="160" w:hanging="436"/>
        <w:spacing w:after="0" w:line="274" w:lineRule="auto"/>
        <w:tabs>
          <w:tab w:leader="none" w:pos="8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16, 2026, the Company’s Board of Directors authorized a new share repurchase program pursuant to which the Company may repurchase up to $5.0 million of its common stock.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Company’s Board of Directors. The authorization became effective on February 16, 2026. The Company did not repurchase any shares of its Common Stock during the quarter ended March 31, 2026.</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 of Directors and Section 16 Officers</w:t>
      </w:r>
    </w:p>
    <w:p>
      <w:pPr>
        <w:spacing w:after="0" w:line="121"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30, 2025, none of our directors or officers (as defined in Exchange Act Rule 16a-1(f)) informed us of the adoption, modification or termination of a “Rule 10b5-1 trading arrangement” or “non-Rule 10b5-1 trading arrangement,” as those terms are defined in Regulation S-K, Item 408.</w:t>
      </w:r>
    </w:p>
    <w:p>
      <w:pPr>
        <w:sectPr>
          <w:pgSz w:w="11900" w:h="16838" w:orient="portrait"/>
          <w:cols w:equalWidth="0" w:num="1">
            <w:col w:w="9720"/>
          </w:cols>
          <w:pgMar w:left="1080" w:top="117" w:right="109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700" w:type="dxa"/>
            <w:vAlign w:val="bottom"/>
            <w:gridSpan w:val="9"/>
          </w:tcPr>
          <w:p>
            <w:pPr>
              <w:ind w:left="420"/>
              <w:spacing w:after="0"/>
              <w:rPr>
                <w:sz w:val="20"/>
                <w:szCs w:val="20"/>
                <w:color w:val="auto"/>
              </w:rPr>
            </w:pPr>
            <w:r>
              <w:rPr>
                <w:rFonts w:ascii="Times New Roman" w:cs="Times New Roman" w:eastAsia="Times New Roman" w:hAnsi="Times New Roman"/>
                <w:sz w:val="18"/>
                <w:szCs w:val="18"/>
                <w:color w:val="auto"/>
              </w:rPr>
              <w:t>(a) Exhibits</w:t>
            </w:r>
          </w:p>
        </w:tc>
      </w:tr>
      <w:tr>
        <w:trPr>
          <w:trHeight w:val="4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3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Lease Agreement between EPC-CW15, LLC, as Landlord, and Mastech Digital, Inc., as Tenant, effective March 5,</w:t>
              </w:r>
            </w:hyperlink>
          </w:p>
        </w:tc>
        <w:tc>
          <w:tcPr>
            <w:tcW w:w="380" w:type="dxa"/>
            <w:vAlign w:val="bottom"/>
            <w:gridSpan w:val="2"/>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87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2026, incorporated by reference to Exhibit 10.1 of the Company's Current Report on Form 8-K, filed with the Securities</w:t>
              </w:r>
            </w:hyperlink>
          </w:p>
        </w:tc>
        <w:tc>
          <w:tcPr>
            <w:tcW w:w="4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8740" w:type="dxa"/>
            <w:vAlign w:val="bottom"/>
            <w:gridSpan w:val="8"/>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and Exchange Commission on March 11, 2026.</w:t>
              </w:r>
            </w:hyperlink>
          </w:p>
        </w:tc>
      </w:tr>
      <w:tr>
        <w:trPr>
          <w:trHeight w:val="20"/>
        </w:trPr>
        <w:tc>
          <w:tcPr>
            <w:tcW w:w="96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3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Restricted Stock Agreement between Mastech Digital, Inc. and Nirav Patel, dated March 30, 2026, incorporated by</w:t>
              </w:r>
            </w:hyperlink>
          </w:p>
        </w:tc>
        <w:tc>
          <w:tcPr>
            <w:tcW w:w="400" w:type="dxa"/>
            <w:vAlign w:val="bottom"/>
            <w:gridSpan w:val="3"/>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81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reference to Exhibit 10.1 of the Company's Current Report on Form 8-K, filed with the Securities and Exchange</w:t>
              </w:r>
            </w:hyperlink>
          </w:p>
        </w:tc>
        <w:tc>
          <w:tcPr>
            <w:tcW w:w="620" w:type="dxa"/>
            <w:vAlign w:val="bottom"/>
            <w:gridSpan w:val="4"/>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8740" w:type="dxa"/>
            <w:vAlign w:val="bottom"/>
            <w:gridSpan w:val="8"/>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Commission on April 3, 2026.</w:t>
              </w:r>
            </w:hyperlink>
          </w:p>
        </w:tc>
      </w:tr>
      <w:tr>
        <w:trPr>
          <w:trHeight w:val="20"/>
        </w:trPr>
        <w:tc>
          <w:tcPr>
            <w:tcW w:w="960" w:type="dxa"/>
            <w:vAlign w:val="bottom"/>
          </w:tcPr>
          <w:p>
            <w:pPr>
              <w:spacing w:after="0" w:line="20" w:lineRule="exact"/>
              <w:rPr>
                <w:sz w:val="1"/>
                <w:szCs w:val="1"/>
                <w:color w:val="auto"/>
              </w:rPr>
            </w:pPr>
          </w:p>
        </w:tc>
        <w:tc>
          <w:tcPr>
            <w:tcW w:w="220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7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 by the Chief Executive Officer is filed herewith.</w:t>
            </w: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 by the Chief Financial Officer is filed herewith.</w:t>
            </w:r>
          </w:p>
        </w:tc>
      </w:tr>
      <w:tr>
        <w:trPr>
          <w:trHeight w:val="20"/>
        </w:trPr>
        <w:tc>
          <w:tcPr>
            <w:tcW w:w="960" w:type="dxa"/>
            <w:vAlign w:val="bottom"/>
          </w:tcPr>
          <w:p>
            <w:pPr>
              <w:spacing w:after="0" w:line="20" w:lineRule="exact"/>
              <w:rPr>
                <w:sz w:val="1"/>
                <w:szCs w:val="1"/>
                <w:color w:val="auto"/>
              </w:rPr>
            </w:pPr>
          </w:p>
        </w:tc>
        <w:tc>
          <w:tcPr>
            <w:tcW w:w="3820" w:type="dxa"/>
            <w:vAlign w:val="bottom"/>
            <w:tcBorders>
              <w:right w:val="single" w:sz="8" w:color="0000FF"/>
            </w:tcBorders>
            <w:gridSpan w:val="3"/>
            <w:shd w:val="clear" w:color="auto" w:fill="0000FF"/>
          </w:tcPr>
          <w:p>
            <w:pPr>
              <w:spacing w:after="0" w:line="20" w:lineRule="exact"/>
              <w:rPr>
                <w:sz w:val="1"/>
                <w:szCs w:val="1"/>
                <w:color w:val="auto"/>
              </w:rPr>
            </w:pPr>
          </w:p>
        </w:tc>
        <w:tc>
          <w:tcPr>
            <w:tcW w:w="488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7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w:t>
            </w:r>
          </w:p>
        </w:tc>
      </w:tr>
      <w:tr>
        <w:trPr>
          <w:trHeight w:val="196"/>
        </w:trPr>
        <w:tc>
          <w:tcPr>
            <w:tcW w:w="960" w:type="dxa"/>
            <w:vAlign w:val="bottom"/>
          </w:tcPr>
          <w:p>
            <w:pPr>
              <w:spacing w:after="0"/>
              <w:rPr>
                <w:sz w:val="17"/>
                <w:szCs w:val="17"/>
                <w:color w:val="auto"/>
              </w:rPr>
            </w:pPr>
          </w:p>
        </w:tc>
        <w:tc>
          <w:tcPr>
            <w:tcW w:w="8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by the Chief Executive Officer is furnished herewith.</w:t>
            </w:r>
          </w:p>
        </w:tc>
      </w:tr>
      <w:tr>
        <w:trPr>
          <w:trHeight w:val="20"/>
        </w:trPr>
        <w:tc>
          <w:tcPr>
            <w:tcW w:w="960" w:type="dxa"/>
            <w:vAlign w:val="bottom"/>
          </w:tcPr>
          <w:p>
            <w:pPr>
              <w:spacing w:after="0" w:line="20" w:lineRule="exact"/>
              <w:rPr>
                <w:sz w:val="1"/>
                <w:szCs w:val="1"/>
                <w:color w:val="auto"/>
              </w:rPr>
            </w:pPr>
          </w:p>
        </w:tc>
        <w:tc>
          <w:tcPr>
            <w:tcW w:w="3820" w:type="dxa"/>
            <w:vAlign w:val="bottom"/>
            <w:tcBorders>
              <w:right w:val="single" w:sz="8" w:color="0000EE"/>
            </w:tcBorders>
            <w:gridSpan w:val="3"/>
            <w:shd w:val="clear" w:color="auto" w:fill="0000FF"/>
          </w:tcPr>
          <w:p>
            <w:pPr>
              <w:spacing w:after="0" w:line="20" w:lineRule="exact"/>
              <w:rPr>
                <w:sz w:val="1"/>
                <w:szCs w:val="1"/>
                <w:color w:val="auto"/>
              </w:rPr>
            </w:pPr>
          </w:p>
        </w:tc>
        <w:tc>
          <w:tcPr>
            <w:tcW w:w="4920" w:type="dxa"/>
            <w:vAlign w:val="bottom"/>
            <w:gridSpan w:val="5"/>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7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w:t>
            </w:r>
          </w:p>
        </w:tc>
      </w:tr>
      <w:tr>
        <w:trPr>
          <w:trHeight w:val="196"/>
        </w:trPr>
        <w:tc>
          <w:tcPr>
            <w:tcW w:w="960" w:type="dxa"/>
            <w:vAlign w:val="bottom"/>
          </w:tcPr>
          <w:p>
            <w:pPr>
              <w:spacing w:after="0"/>
              <w:rPr>
                <w:sz w:val="17"/>
                <w:szCs w:val="17"/>
                <w:color w:val="auto"/>
              </w:rPr>
            </w:pPr>
          </w:p>
        </w:tc>
        <w:tc>
          <w:tcPr>
            <w:tcW w:w="38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by the Chief Financial Officer is furnished herewith.</w:t>
            </w:r>
          </w:p>
        </w:tc>
        <w:tc>
          <w:tcPr>
            <w:tcW w:w="4920" w:type="dxa"/>
            <w:vAlign w:val="bottom"/>
            <w:gridSpan w:val="5"/>
          </w:tcPr>
          <w:p>
            <w:pPr>
              <w:spacing w:after="0"/>
              <w:rPr>
                <w:sz w:val="17"/>
                <w:szCs w:val="17"/>
                <w:color w:val="auto"/>
              </w:rPr>
            </w:pPr>
          </w:p>
        </w:tc>
      </w:tr>
      <w:tr>
        <w:trPr>
          <w:trHeight w:val="32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w:t>
            </w:r>
          </w:p>
        </w:tc>
      </w:tr>
      <w:tr>
        <w:trPr>
          <w:trHeight w:val="234"/>
        </w:trPr>
        <w:tc>
          <w:tcPr>
            <w:tcW w:w="960" w:type="dxa"/>
            <w:vAlign w:val="bottom"/>
          </w:tcPr>
          <w:p>
            <w:pPr>
              <w:spacing w:after="0"/>
              <w:rPr>
                <w:sz w:val="20"/>
                <w:szCs w:val="20"/>
                <w:color w:val="auto"/>
              </w:rPr>
            </w:pPr>
          </w:p>
        </w:tc>
        <w:tc>
          <w:tcPr>
            <w:tcW w:w="8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90" w:lineRule="exact"/>
        <w:rPr>
          <w:sz w:val="20"/>
          <w:szCs w:val="20"/>
          <w:color w:val="auto"/>
        </w:rPr>
      </w:pPr>
    </w:p>
    <w:p>
      <w:pPr>
        <w:ind w:left="4780" w:right="2220" w:hanging="4763"/>
        <w:spacing w:after="0" w:line="783" w:lineRule="auto"/>
        <w:tabs>
          <w:tab w:leader="none" w:pos="98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170180</wp:posOffset>
            </wp:positionV>
            <wp:extent cx="703770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15th day of May, 2026.</w:t>
      </w:r>
    </w:p>
    <w:p>
      <w:pPr>
        <w:spacing w:after="0" w:line="200" w:lineRule="exact"/>
        <w:rPr>
          <w:sz w:val="20"/>
          <w:szCs w:val="20"/>
          <w:color w:val="auto"/>
        </w:rPr>
      </w:pPr>
    </w:p>
    <w:p>
      <w:pPr>
        <w:spacing w:after="0" w:line="23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25" w:lineRule="exact"/>
        <w:rPr>
          <w:sz w:val="20"/>
          <w:szCs w:val="20"/>
          <w:color w:val="auto"/>
        </w:rPr>
      </w:pPr>
    </w:p>
    <w:p>
      <w:pPr>
        <w:spacing w:after="0"/>
        <w:tabs>
          <w:tab w:leader="none" w:pos="6880" w:val="left"/>
        </w:tabs>
        <w:rPr>
          <w:sz w:val="20"/>
          <w:szCs w:val="20"/>
          <w:color w:val="auto"/>
        </w:rPr>
      </w:pPr>
      <w:r>
        <w:rPr>
          <w:rFonts w:ascii="Times New Roman" w:cs="Times New Roman" w:eastAsia="Times New Roman" w:hAnsi="Times New Roman"/>
          <w:sz w:val="18"/>
          <w:szCs w:val="18"/>
          <w:color w:val="auto"/>
        </w:rPr>
        <w:t>May 15, 2026</w:t>
      </w:r>
      <w:r>
        <w:rPr>
          <w:sz w:val="20"/>
          <w:szCs w:val="20"/>
          <w:color w:val="auto"/>
        </w:rPr>
        <w:tab/>
      </w:r>
      <w:r>
        <w:rPr>
          <w:rFonts w:ascii="Times New Roman" w:cs="Times New Roman" w:eastAsia="Times New Roman" w:hAnsi="Times New Roman"/>
          <w:sz w:val="17"/>
          <w:szCs w:val="17"/>
          <w:color w:val="auto"/>
        </w:rPr>
        <w:t>/s/ NIRAV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17145</wp:posOffset>
            </wp:positionV>
            <wp:extent cx="270891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7"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8"/>
          <w:szCs w:val="18"/>
          <w:b w:val="1"/>
          <w:bCs w:val="1"/>
          <w:color w:val="auto"/>
        </w:rPr>
        <w:t>Nirav Patel</w:t>
      </w:r>
    </w:p>
    <w:p>
      <w:pPr>
        <w:spacing w:after="0" w:line="23"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/s/ KANNAN SUGANTHARAMAN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17145</wp:posOffset>
            </wp:positionV>
            <wp:extent cx="27089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Kannan Sugantharaman</w:t>
      </w:r>
    </w:p>
    <w:p>
      <w:pPr>
        <w:spacing w:after="0" w:line="23"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00"/>
          </w:cols>
          <w:pgMar w:left="1080" w:top="117" w:right="1219" w:bottom="1440" w:gutter="0" w:footer="0" w:header="0"/>
        </w:sectPr>
      </w:pPr>
    </w:p>
    <w:bookmarkStart w:id="30" w:name="page31"/>
    <w:bookmarkEnd w:id="30"/>
    <w:p>
      <w:pPr>
        <w:ind w:left="87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 by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Nirav Patel, certify that:</w:t>
      </w:r>
    </w:p>
    <w:p>
      <w:pPr>
        <w:spacing w:after="0" w:line="117" w:lineRule="exact"/>
        <w:rPr>
          <w:sz w:val="20"/>
          <w:szCs w:val="20"/>
          <w:color w:val="auto"/>
        </w:rPr>
      </w:pPr>
    </w:p>
    <w:p>
      <w:pPr>
        <w:ind w:left="440" w:hanging="436"/>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Mastech Digital, Inc.;</w:t>
      </w:r>
    </w:p>
    <w:p>
      <w:pPr>
        <w:spacing w:after="0" w:line="117" w:lineRule="exact"/>
        <w:rPr>
          <w:rFonts w:ascii="Times New Roman" w:cs="Times New Roman" w:eastAsia="Times New Roman" w:hAnsi="Times New Roman"/>
          <w:sz w:val="18"/>
          <w:szCs w:val="18"/>
          <w:color w:val="auto"/>
        </w:rPr>
      </w:pPr>
    </w:p>
    <w:p>
      <w:pPr>
        <w:ind w:left="440" w:right="200" w:hanging="436"/>
        <w:spacing w:after="0" w:line="266"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right="280" w:hanging="436"/>
        <w:spacing w:after="0" w:line="266"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hanging="436"/>
        <w:spacing w:after="0" w:line="266"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880" w:hanging="436"/>
        <w:spacing w:after="0" w:line="266" w:lineRule="auto"/>
        <w:tabs>
          <w:tab w:leader="none" w:pos="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880" w:right="300" w:hanging="436"/>
        <w:spacing w:after="0" w:line="289" w:lineRule="auto"/>
        <w:tabs>
          <w:tab w:leader="none" w:pos="88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880" w:right="160" w:hanging="436"/>
        <w:spacing w:after="0" w:line="266" w:lineRule="auto"/>
        <w:tabs>
          <w:tab w:leader="none" w:pos="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80" w:right="60" w:hanging="436"/>
        <w:spacing w:after="0" w:line="289" w:lineRule="auto"/>
        <w:tabs>
          <w:tab w:leader="none" w:pos="88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440" w:right="540" w:hanging="436"/>
        <w:spacing w:after="0" w:line="266"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80" w:right="80" w:hanging="436"/>
        <w:spacing w:after="0" w:line="266" w:lineRule="auto"/>
        <w:tabs>
          <w:tab w:leader="none" w:pos="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80" w:right="460" w:hanging="436"/>
        <w:spacing w:after="0" w:line="282" w:lineRule="auto"/>
        <w:tabs>
          <w:tab w:leader="none" w:pos="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52"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7"/>
          <w:szCs w:val="17"/>
          <w:color w:val="auto"/>
        </w:rPr>
        <w:t>/S/ NIRAV PATEL</w:t>
      </w:r>
    </w:p>
    <w:p>
      <w:pPr>
        <w:spacing w:after="0" w:line="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Nirav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-125095</wp:posOffset>
            </wp:positionV>
            <wp:extent cx="27006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2700655" cy="8890"/>
                    </a:xfrm>
                    <a:prstGeom prst="rect">
                      <a:avLst/>
                    </a:prstGeom>
                    <a:noFill/>
                  </pic:spPr>
                </pic:pic>
              </a:graphicData>
            </a:graphic>
          </wp:anchor>
        </w:drawing>
      </w:r>
    </w:p>
    <w:p>
      <w:pPr>
        <w:spacing w:after="0" w:line="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764540</wp:posOffset>
            </wp:positionV>
            <wp:extent cx="703770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008" w:right="1119" w:bottom="1440" w:gutter="0" w:footer="0" w:header="0"/>
        </w:sectPr>
      </w:pPr>
    </w:p>
    <w:bookmarkStart w:id="31" w:name="page32"/>
    <w:bookmarkEnd w:id="31"/>
    <w:p>
      <w:pPr>
        <w:ind w:left="87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 by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Kannan Sugantharaman, certify that:</w:t>
      </w:r>
    </w:p>
    <w:p>
      <w:pPr>
        <w:spacing w:after="0" w:line="117" w:lineRule="exact"/>
        <w:rPr>
          <w:sz w:val="20"/>
          <w:szCs w:val="20"/>
          <w:color w:val="auto"/>
        </w:rPr>
      </w:pPr>
    </w:p>
    <w:p>
      <w:pPr>
        <w:ind w:left="440" w:hanging="436"/>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Mastech Digital, Inc.;</w:t>
      </w:r>
    </w:p>
    <w:p>
      <w:pPr>
        <w:spacing w:after="0" w:line="117" w:lineRule="exact"/>
        <w:rPr>
          <w:rFonts w:ascii="Times New Roman" w:cs="Times New Roman" w:eastAsia="Times New Roman" w:hAnsi="Times New Roman"/>
          <w:sz w:val="18"/>
          <w:szCs w:val="18"/>
          <w:color w:val="auto"/>
        </w:rPr>
      </w:pPr>
    </w:p>
    <w:p>
      <w:pPr>
        <w:ind w:left="440" w:right="200" w:hanging="436"/>
        <w:spacing w:after="0" w:line="266" w:lineRule="auto"/>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right="280" w:hanging="436"/>
        <w:spacing w:after="0" w:line="266" w:lineRule="auto"/>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hanging="436"/>
        <w:spacing w:after="0" w:line="266" w:lineRule="auto"/>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880" w:hanging="436"/>
        <w:spacing w:after="0" w:line="266" w:lineRule="auto"/>
        <w:tabs>
          <w:tab w:leader="none" w:pos="8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880" w:right="300" w:hanging="436"/>
        <w:spacing w:after="0" w:line="289" w:lineRule="auto"/>
        <w:tabs>
          <w:tab w:leader="none" w:pos="88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880" w:right="160" w:hanging="436"/>
        <w:spacing w:after="0" w:line="266" w:lineRule="auto"/>
        <w:tabs>
          <w:tab w:leader="none" w:pos="8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80" w:right="60" w:hanging="436"/>
        <w:spacing w:after="0" w:line="289" w:lineRule="auto"/>
        <w:tabs>
          <w:tab w:leader="none" w:pos="88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440" w:right="540" w:hanging="436"/>
        <w:spacing w:after="0" w:line="266" w:lineRule="auto"/>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80" w:right="80" w:hanging="436"/>
        <w:spacing w:after="0" w:line="266" w:lineRule="auto"/>
        <w:tabs>
          <w:tab w:leader="none" w:pos="8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80" w:right="460" w:hanging="436"/>
        <w:spacing w:after="0" w:line="282" w:lineRule="auto"/>
        <w:tabs>
          <w:tab w:leader="none" w:pos="8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52" w:lineRule="exact"/>
        <w:rPr>
          <w:sz w:val="20"/>
          <w:szCs w:val="20"/>
          <w:color w:val="auto"/>
        </w:rPr>
      </w:pPr>
    </w:p>
    <w:p>
      <w:pPr>
        <w:spacing w:after="0"/>
        <w:tabs>
          <w:tab w:leader="none" w:pos="542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7"/>
          <w:szCs w:val="17"/>
          <w:color w:val="auto"/>
        </w:rPr>
        <w:t>/S/ KANNAN SUGANTHARAMAN</w:t>
      </w:r>
    </w:p>
    <w:p>
      <w:pPr>
        <w:spacing w:after="0" w:line="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Kannan Sugantharaman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-125095</wp:posOffset>
            </wp:positionV>
            <wp:extent cx="27260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1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764540</wp:posOffset>
            </wp:positionV>
            <wp:extent cx="703770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008" w:right="111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Mastech Digital, Inc. (the “Company”) on Form 10-Q for the quarter ended March 31, 2026, as filed with the Securities and Exchange Commission on the date hereof (the “Report”), I, Nirav Patel, Chief Executive Officer of the Company, certify, pursuant to 18 U.S.C. § 1350, as adopted pursuant to § 906 of the Sarbanes-Oxley Act of 2002, that, to my knowledge:</w:t>
      </w:r>
    </w:p>
    <w:p>
      <w:pPr>
        <w:spacing w:after="0" w:line="72" w:lineRule="exact"/>
        <w:rPr>
          <w:sz w:val="20"/>
          <w:szCs w:val="20"/>
          <w:color w:val="auto"/>
        </w:rPr>
      </w:pPr>
    </w:p>
    <w:p>
      <w:pPr>
        <w:ind w:left="760" w:right="460" w:hanging="315"/>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760" w:right="500" w:hanging="315"/>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NIRAV PATEL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Nirav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24688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775970</wp:posOffset>
            </wp:positionV>
            <wp:extent cx="703770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008" w:right="11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60"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Mastech Digital, Inc. (the “Company”) on Form 10-Q for the quarter ended March 31, 2026, as filed with the Securities and Exchange Commission on the date hereof (the “Report”), I, Kannan Sugantharaman, Chief Financial Officer of the Company, certify, pursuant to 18 U.S.C. § 1350, as adopted pursuant to § 906 of the Sarbanes-Oxley Act of 2002, that, to my knowledge:</w:t>
      </w:r>
    </w:p>
    <w:p>
      <w:pPr>
        <w:spacing w:after="0" w:line="72" w:lineRule="exact"/>
        <w:rPr>
          <w:sz w:val="20"/>
          <w:szCs w:val="20"/>
          <w:color w:val="auto"/>
        </w:rPr>
      </w:pPr>
    </w:p>
    <w:p>
      <w:pPr>
        <w:ind w:left="760" w:right="460" w:hanging="315"/>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760" w:right="500" w:hanging="315"/>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KANNAN SUGANTHARAMAN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Kannan Sugantharaman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24688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775970</wp:posOffset>
            </wp:positionV>
            <wp:extent cx="703770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008" w:right="11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1."/>
      <w:numFmt w:val="decimal"/>
      <w:start w:val="6"/>
    </w:lvl>
  </w:abstractNum>
  <w:abstractNum w:abstractNumId="8">
    <w:nsid w:val="6B68079A"/>
    <w:multiLevelType w:val="hybridMultilevel"/>
    <w:lvl w:ilvl="0">
      <w:lvlJc w:val="left"/>
      <w:lvlText w:val="%1."/>
      <w:numFmt w:val="decimal"/>
      <w:start w:val="7"/>
    </w:lvl>
  </w:abstractNum>
  <w:abstractNum w:abstractNumId="9">
    <w:nsid w:val="4E6AFB66"/>
    <w:multiLevelType w:val="hybridMultilevel"/>
    <w:lvl w:ilvl="0">
      <w:lvlJc w:val="left"/>
      <w:lvlText w:val="%1."/>
      <w:numFmt w:val="decimal"/>
      <w:start w:val="8"/>
    </w:lvl>
  </w:abstractNum>
  <w:abstractNum w:abstractNumId="10">
    <w:nsid w:val="25E45D32"/>
    <w:multiLevelType w:val="hybridMultilevel"/>
    <w:lvl w:ilvl="0">
      <w:lvlJc w:val="left"/>
      <w:lvlText w:val="%1."/>
      <w:numFmt w:val="decimal"/>
      <w:start w:val="9"/>
    </w:lvl>
  </w:abstractNum>
  <w:abstractNum w:abstractNumId="11">
    <w:nsid w:val="519B500D"/>
    <w:multiLevelType w:val="hybridMultilevel"/>
    <w:lvl w:ilvl="0">
      <w:lvlJc w:val="left"/>
      <w:lvlText w:val="%1."/>
      <w:numFmt w:val="decimal"/>
      <w:start w:val="10"/>
    </w:lvl>
  </w:abstractNum>
  <w:abstractNum w:abstractNumId="12">
    <w:nsid w:val="431BD7B7"/>
    <w:multiLevelType w:val="hybridMultilevel"/>
    <w:lvl w:ilvl="0">
      <w:lvlJc w:val="left"/>
      <w:lvlText w:val="%1."/>
      <w:numFmt w:val="decimal"/>
      <w:start w:val="11"/>
    </w:lvl>
  </w:abstractNum>
  <w:abstractNum w:abstractNumId="13">
    <w:nsid w:val="3F2DBA31"/>
    <w:multiLevelType w:val="hybridMultilevel"/>
    <w:lvl w:ilvl="0">
      <w:lvlJc w:val="left"/>
      <w:lvlText w:val="%1."/>
      <w:numFmt w:val="decimal"/>
      <w:start w:val="12"/>
    </w:lvl>
  </w:abstractNum>
  <w:abstractNum w:abstractNumId="14">
    <w:nsid w:val="7C83E458"/>
    <w:multiLevelType w:val="hybridMultilevel"/>
    <w:lvl w:ilvl="0">
      <w:lvlJc w:val="left"/>
      <w:lvlText w:val="%1."/>
      <w:numFmt w:val="decimal"/>
      <w:start w:val="13"/>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2"/>
    </w:lvl>
  </w:abstractNum>
  <w:abstractNum w:abstractNumId="18">
    <w:nsid w:val="628C895D"/>
    <w:multiLevelType w:val="hybridMultilevel"/>
    <w:lvl w:ilvl="0">
      <w:lvlJc w:val="left"/>
      <w:lvlText w:val="%1"/>
      <w:numFmt w:val="decimal"/>
      <w:start w:val="104"/>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74" Type="http://schemas.openxmlformats.org/officeDocument/2006/relationships/hyperlink" Target="https://www.sec.gov/Archives/edgar/data/1437226/000119312526102393/mhh-ex10_1.htm" TargetMode="External"/><Relationship Id="rId175" Type="http://schemas.openxmlformats.org/officeDocument/2006/relationships/hyperlink" Target="https://www.sec.gov/Archives/edgar/data/1437226/000119312526145981/mhh-202603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2026-05-15T09:09:06Z</dcterms:created>
  <dcterms:modified xsi:type="dcterms:W3CDTF">2026-05-15T09:09:06Z</dcterms:modified>
</cp:coreProperties>
</file>