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Sugantharaman Kannan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MASTECH DIGITAL,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1305 CHERRINGTON PKWY, BLDG 210, STE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MOON TOWNSHIP</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Mastech Digital, Inc.</w:t>
              </w:r>
            </w:hyperlink>
            <w:r>
              <w:rPr/>
              <w:t xml:space="preserve"> [ </w:t>
            </w:r>
            <w:r>
              <w:rPr>
                <w:rFonts w:ascii="Times;serif" w:hAnsi="Times;serif"/>
                <w:color w:val="0000FF"/>
                <w:sz w:val="24"/>
                <w:shd w:fill="FFFFFF" w:val="clear"/>
              </w:rPr>
              <w:t>MHH</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COO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10, 2026, Mr. Sugantharaman received an award of 20,000 restricted stock units of the Issuer ("RSUs"). The RSUs will vest as follows: (i) 6,667 RSUs will vest on August 10, 2027; (ii) 6,667 RSUs will vest on August 10, 2028; and (iii) 6,666 RSUs will vest on August 10,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RSUs granted by the Issuer pursuant to its Stock Incentive Plan, as amended and restated effective as of May 14, 2024 and further amended on May 14, 2025. Each RSU represents a contingent right to receive one share of Common Stock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Lacey,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27349" TargetMode="External"/><Relationship Id="rId5" Type="http://schemas.openxmlformats.org/officeDocument/2006/relationships/hyperlink" Target="http://www.sec.gov/cgi-bin/browse-edgar?action=getcompany&amp;CIK=00014372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674</Words>
  <Characters>3581</Characters>
  <CharactersWithSpaces>4182</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