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21" w:lineRule="exact"/>
        <w:rPr>
          <w:sz w:val="24"/>
          <w:szCs w:val="24"/>
          <w:color w:val="auto"/>
        </w:rPr>
      </w:pPr>
    </w:p>
    <w:p>
      <w:pPr>
        <w:ind w:left="540" w:right="2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4"/>
                <w:szCs w:val="24"/>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3040" w:type="dxa"/>
            <w:vAlign w:val="bottom"/>
            <w:gridSpan w:val="2"/>
          </w:tcPr>
          <w:p>
            <w:pPr>
              <w:jc w:val="center"/>
              <w:ind w:right="1960"/>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40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p>
      <w:pPr>
        <w:spacing w:after="0" w:line="39" w:lineRule="exact"/>
        <w:rPr>
          <w:sz w:val="24"/>
          <w:szCs w:val="24"/>
          <w:color w:val="auto"/>
        </w:rPr>
      </w:pPr>
    </w:p>
    <w:p>
      <w:pPr>
        <w:ind w:left="120" w:right="2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1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left="120"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0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July 29, 2022 was 11,614,674.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2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540" w:type="dxa"/>
            <w:vAlign w:val="bottom"/>
            <w:gridSpan w:val="10"/>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2260" w:type="dxa"/>
            <w:vAlign w:val="bottom"/>
            <w:tcBorders>
              <w:bottom w:val="single" w:sz="8" w:color="0000EE"/>
            </w:tcBorders>
            <w:gridSpan w:val="11"/>
            <w:vMerge w:val="continue"/>
          </w:tcPr>
          <w:p>
            <w:pPr>
              <w:spacing w:after="0"/>
              <w:rPr>
                <w:sz w:val="13"/>
                <w:szCs w:val="13"/>
                <w:color w:val="auto"/>
              </w:rPr>
            </w:pPr>
          </w:p>
        </w:tc>
        <w:tc>
          <w:tcPr>
            <w:tcW w:w="754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8240" w:type="dxa"/>
            <w:vAlign w:val="bottom"/>
            <w:gridSpan w:val="1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EE"/>
              </w:rPr>
              <w:t>Condensed Consolidated Statements of Operations (Unaudited) for the Three and Six Months Ended June 30, 2022 and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Condensed Consolidated Statements of Comprehensive Income (Unaudited) for the Three and Six Months Ended June 30, 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2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EE"/>
              </w:rPr>
              <w:t>Condensed Consolidated Balance Sheets (Unaudited) as of June 30, 2022 and December 31,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Condensed Consolidated Statements of Shareholders’ Equity (Unaudited) for the Three and Six Months Ended June 30, 2022 and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EE"/>
              </w:rPr>
              <w:t>Condensed Consolidated Statements of Cash Flows (Unaudited) for the Six Months Ended June 30, 2022 and 2021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0000EE"/>
              </w:rPr>
              <w:t>Notes to Condensed Consolidated Financial Statements (Unaudited)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9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9"/>
          </w:tcPr>
          <w:p>
            <w:pPr>
              <w:spacing w:after="0"/>
              <w:rPr>
                <w:sz w:val="24"/>
                <w:szCs w:val="24"/>
                <w:color w:val="auto"/>
              </w:rPr>
            </w:pPr>
          </w:p>
        </w:tc>
        <w:tc>
          <w:tcPr>
            <w:tcW w:w="546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1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SIGNATURES</w:t>
            </w:r>
          </w:p>
        </w:tc>
        <w:tc>
          <w:tcPr>
            <w:tcW w:w="8640" w:type="dxa"/>
            <w:vAlign w:val="bottom"/>
            <w:gridSpan w:val="1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5240" w:type="dxa"/>
            <w:vAlign w:val="bottom"/>
            <w:gridSpan w:val="14"/>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6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53,658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121,872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45,371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39,343</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76,314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16,746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14,315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27,119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10,986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21,921</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19,939</w:t>
            </w: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6,804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11,607</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11,442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12,110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12,002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11,999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$ 2,436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on interest-rate swap contracts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net unrealized (loss)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$ 2,117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4,844</w:t>
            </w:r>
          </w:p>
        </w:tc>
        <w:tc>
          <w:tcPr>
            <w:tcW w:w="12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10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$375 in 2022 and $375 in 2021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34,153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53,905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32,510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18,760</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119,141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113,702</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14,240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250,000,000 shares authorized and 13,261,094 shares issued as of June 30, 2022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13,112,202 shares issued as of December 31, 2021</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31,048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28,250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50,841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1,646,420 shares as of June 30, 2022 and as of December 31, 2021</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74,428</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119,141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2</w:t>
            </w: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2022</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$ 31,048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2021</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$ 26,231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$ 27,172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69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5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$ 4,768</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$ 4,932</w:t>
            </w:r>
          </w:p>
        </w:tc>
      </w:tr>
      <w:tr>
        <w:trPr>
          <w:trHeight w:val="216"/>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(used in) operating activities: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1,996</w:t>
            </w: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(6,450)</w:t>
            </w: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2,049</w:t>
            </w: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9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9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r>
      <w:tr>
        <w:trPr>
          <w:trHeight w:val="27"/>
        </w:trPr>
        <w:tc>
          <w:tcPr>
            <w:tcW w:w="9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9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9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7,677</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$ 6,722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$ 5,302</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right="6720" w:hanging="444"/>
        <w:spacing w:after="0" w:line="377" w:lineRule="auto"/>
        <w:tabs>
          <w:tab w:leader="none" w:pos="5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We are hopeful that COVID-19 related concerns will be less impactful on our business in 2022. The proliferation of COVID-19 variants, however, have caused some uncertainty and may continue to disrupt global markets during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2021, included in our Annual Report on Form 10-K filed with the SEC on March 14, 2022. Additionally, our operating results for the three and six months ended June 30, 2022 are not necessarily indicative of the results that can be expected for the year ending December 31, 2022 or for any other period.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six months ended June 30, 2022.</w:t>
      </w:r>
    </w:p>
    <w:p>
      <w:pPr>
        <w:sectPr>
          <w:pgSz w:w="11900" w:h="16838" w:orient="portrait"/>
          <w:cols w:equalWidth="0" w:num="1">
            <w:col w:w="11100"/>
          </w:cols>
          <w:pgMar w:left="320" w:top="482" w:right="47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00"/>
          </w:cols>
          <w:pgMar w:left="320" w:top="482"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06"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This business offers project-based consulting services in the areas of Master Data Management, Enterprise Data Integration, Data Engineering and Analytics, which can be delivered using onsite and offshore resources.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698"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1"/>
              </w:rPr>
              <w:t>(Amounts</w:t>
            </w:r>
          </w:p>
        </w:tc>
        <w:tc>
          <w:tcPr>
            <w:tcW w:w="3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3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6,863</w:t>
            </w:r>
          </w:p>
        </w:tc>
        <w:tc>
          <w:tcPr>
            <w:tcW w:w="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5,917</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4,387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5,973</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21,402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580" w:type="dxa"/>
            <w:vAlign w:val="bottom"/>
            <w:tcBorders>
              <w:top w:val="single" w:sz="8" w:color="CCEEFF"/>
            </w:tcBorders>
            <w:gridSpan w:val="2"/>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50,867</w:t>
            </w:r>
          </w:p>
        </w:tc>
        <w:tc>
          <w:tcPr>
            <w:tcW w:w="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44,708</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Times New Roman" w:cs="Times New Roman" w:eastAsia="Times New Roman" w:hAnsi="Times New Roman"/>
                <w:sz w:val="18"/>
                <w:szCs w:val="18"/>
                <w:color w:val="auto"/>
                <w:w w:val="99"/>
              </w:rPr>
              <w:t>100,470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85,689</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100,470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85,689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62,117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53,658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w w:val="99"/>
              </w:rPr>
              <w:t>121,872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103,433</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the Company had one client that exceeded 10% of total revenue (CGI = 22.3%). For the six months ended June 30, 2022, the Company had one client that exceeded 10% of total revenue (CGI = 20.1%). For the three months ended June 30, 2021, the Company had one client that exceeded 10% of total revenue (CGI = 14.8%). For the six months ended June 30, 2021, the Company had one client that exceeded 10% of total revenue (CGI = 14.9%).</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52% and 48% of total revenues for the three months ended June 30, 2022 and 2021, respectively. For the six months ended June 30, 2022 and 2021, the Company’s top ten clients represented approximately 52% and 48% of total revenues,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360" w:type="dxa"/>
            <w:vAlign w:val="bottom"/>
          </w:tcPr>
          <w:p>
            <w:pPr>
              <w:spacing w:after="0"/>
              <w:rPr>
                <w:sz w:val="15"/>
                <w:szCs w:val="15"/>
                <w:color w:val="auto"/>
              </w:rPr>
            </w:pPr>
          </w:p>
        </w:tc>
        <w:tc>
          <w:tcPr>
            <w:tcW w:w="11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6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6"/>
        </w:trPr>
        <w:tc>
          <w:tcPr>
            <w:tcW w:w="6360" w:type="dxa"/>
            <w:vAlign w:val="bottom"/>
          </w:tcPr>
          <w:p>
            <w:pPr>
              <w:spacing w:after="0"/>
              <w:rPr>
                <w:sz w:val="13"/>
                <w:szCs w:val="13"/>
                <w:color w:val="auto"/>
              </w:rPr>
            </w:pPr>
          </w:p>
        </w:tc>
        <w:tc>
          <w:tcPr>
            <w:tcW w:w="6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w w:val="87"/>
              </w:rPr>
              <w:t>(Amounts</w:t>
            </w:r>
          </w:p>
        </w:tc>
        <w:tc>
          <w:tcPr>
            <w:tcW w:w="34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0" w:type="dxa"/>
            <w:vAlign w:val="bottom"/>
          </w:tcPr>
          <w:p>
            <w:pPr>
              <w:spacing w:after="0"/>
              <w:rPr>
                <w:sz w:val="13"/>
                <w:szCs w:val="13"/>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$ 60,468</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51,532</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w w:val="91"/>
              </w:rPr>
              <w:t>$ 118,815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99,474</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1,108</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$ 62,117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53,658</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121,872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103,433</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related to the InfoTrellis acquisition of $9.7 million. Goodwill related to our October 1, 2020, acquisition of AmberLeaf totaled $6.4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June 30, 2022 and December 31,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40" w:type="dxa"/>
            <w:vAlign w:val="bottom"/>
            <w:vMerge w:val="restart"/>
          </w:tcPr>
          <w:p>
            <w:pPr>
              <w:spacing w:after="0"/>
              <w:rPr>
                <w:sz w:val="10"/>
                <w:szCs w:val="10"/>
                <w:color w:val="auto"/>
              </w:rPr>
            </w:pPr>
          </w:p>
        </w:tc>
        <w:tc>
          <w:tcPr>
            <w:tcW w:w="16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0"/>
                <w:szCs w:val="10"/>
                <w:color w:val="auto"/>
              </w:rPr>
            </w:pPr>
          </w:p>
        </w:tc>
        <w:tc>
          <w:tcPr>
            <w:tcW w:w="15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6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7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7,322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12,319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4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15,923</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240" w:type="dxa"/>
            <w:vAlign w:val="bottom"/>
            <w:vMerge w:val="restart"/>
          </w:tcPr>
          <w:p>
            <w:pPr>
              <w:spacing w:after="0"/>
              <w:rPr>
                <w:sz w:val="10"/>
                <w:szCs w:val="10"/>
                <w:color w:val="auto"/>
              </w:rPr>
            </w:pPr>
          </w:p>
        </w:tc>
        <w:tc>
          <w:tcPr>
            <w:tcW w:w="160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0"/>
                <w:szCs w:val="10"/>
                <w:color w:val="auto"/>
              </w:rPr>
            </w:pPr>
          </w:p>
        </w:tc>
        <w:tc>
          <w:tcPr>
            <w:tcW w:w="15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6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7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6,503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3"/>
        </w:trPr>
        <w:tc>
          <w:tcPr>
            <w:tcW w:w="4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14,339</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six month periods ended June 30, 2022 totaled $792,000 and $1.6 million, respectively and is included in selling, general and administrative expenses in the Consolidated Statement of Operations. For the three and six month periods ended June 30, 2021, amortization expense was $793,000 and $1.6 million,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2022 through 2026 is as follows:</w:t>
      </w:r>
    </w:p>
    <w:p>
      <w:pPr>
        <w:spacing w:after="0" w:line="246"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7620</wp:posOffset>
            </wp:positionV>
            <wp:extent cx="2168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7800"/>
        <w:spacing w:after="0"/>
        <w:tabs>
          <w:tab w:leader="none" w:pos="8500" w:val="left"/>
          <w:tab w:leader="none" w:pos="9200" w:val="left"/>
          <w:tab w:leader="none" w:pos="9920" w:val="left"/>
          <w:tab w:leader="none" w:pos="10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-3175</wp:posOffset>
            </wp:positionV>
            <wp:extent cx="216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$ 2,413</w:t>
            </w:r>
          </w:p>
        </w:tc>
      </w:tr>
    </w:tbl>
    <w:p>
      <w:pPr>
        <w:spacing w:after="0" w:line="342"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June 30, 2022, approximately 97,000 square feet of office space is utilized for our sales and recruiting offices, delivery centers, and corporate headquarters. All of our leases are classified as operating leases. The average initial lease term is five years. Several leases have an option to renew, at our sole discretion, for an additional term. Our present lease terms range from less than one year to 4.8 years with a weighted average of 3.7 years. Leases with an initial term of twelve months or less are not recorded on the balance sheet.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 as of June 30, 2022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4,641</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4,894</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3,179</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r>
      <w:tr>
        <w:trPr>
          <w:trHeight w:val="223"/>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(For remainder of year)</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5,046</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six months ended June 30,</w:t>
      </w:r>
    </w:p>
    <w:p>
      <w:pPr>
        <w:spacing w:after="0" w:line="27"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2022 totaled $0.5 million and $0.9 million, respectively. Rental expense for the three and six months ended June 30, 2021 totaled $0.5 million and $0.9 million, respectively.</w:t>
      </w:r>
    </w:p>
    <w:p>
      <w:pPr>
        <w:spacing w:after="0" w:line="18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Total cash paid for lease liabilities for the three and six months ended June 30, 2022 totaled $0.5 million and $0.9 million, respectively. Total cash paid for lease liabilities for the three and six months ended June 30, 2021 totaled $0.3 million and $0.7 million, respectively.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New leases entered into during the three and six months ended June 30, 2022 totaled $0 million and $0.5 million, respectively. New leases entered into during the three and six months ended June 30, 2021 totaled $2.8 million and $3.1 million, respectively. New leases are considered non cash transactions.</w:t>
      </w:r>
    </w:p>
    <w:p>
      <w:pPr>
        <w:spacing w:after="0" w:line="32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Payroll Tax Liability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allowed under the Coronavirus Aid, Relief and Economic Security (CARES) Act, the Company elected to defer payment of the employer’s share of social security tax. As of June 30, 2022, and December 31, 2021, the balance of this liability is $2.3 million and $2.3 million, respectively. The Company is required to repay the $2.3 million by December 31, 2022, which is reflected as part of current liabilities under the caption accrued payroll and related costs.</w:t>
      </w:r>
    </w:p>
    <w:p>
      <w:pPr>
        <w:spacing w:after="0" w:line="324"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 periods ended June 30, 2022 and 2021.</w:t>
      </w:r>
    </w:p>
    <w:p>
      <w:pPr>
        <w:spacing w:after="0" w:line="324"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June 30, 2022, the Company granted 2,675 restricted share units and no stock options under the Plan. During the three months ended June 30, 2021, the Company granted no shares under the Plan.</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restricted share units of 13,979 and 400,000 stock options at an average strike price of $18.41. During the six months ended June 30, 2021, the Company granted restricted share units of 11,955 and 270,000 stock option grants at an average strike price of $17.65. As of June 30, 2022 and December 31, 2021, there were 344,075 shares and 538,000 shares, respectively, available for grants under the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June 30, 2022 and 2021 was $752,000 and $757,000, respectively, and for the six months ended June 30, 2022 and 2021 was $1.3 million and $1.4 million. Stock-based compensation expense is included in selling, general and administrative expenses in the Condensed Consolidated Statements of Operations.</w:t>
      </w:r>
    </w:p>
    <w:p>
      <w:pPr>
        <w:spacing w:after="0" w:line="17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issued 46,765 and 158,932 shares, respectively, related to the grant of restricted share units and the exercise of stock options. During the three and six months ended June 30, 2021, the Company issued 30,239 shares, respectively, related to the vesting of restricted shares and the exercising of stock options.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and six months ended June 30, 2022 and 2021, there were 15,765 shares and 14,301 shares issued under the Stock Purchase Plan at a share price of $12.63 and $12.71, respectively. Stock-based compensation expense related to the Stock Purchase Plan for the three months ended June 30, 2022 and 2021 totaled $30,000 and $81,000, respectively. Stock-based compensation expense related to the Stock Purchase Plan for the six months ended June 30, 2022 and 2021 totaled $70,000 and $81,000, respectively, and is included in selling, general and administrative expenses in the Condensed Consolidated Statements of Operations for the six months ended June 30, 2022 and 2021. At June 30, 2022, there were 500,589 shares available for purchases under the Employee Stock Purchase Plan.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698"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8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are required to be repaid in consecutive quarterly installments through and including the maturity date of October 1, 2024. The principal amount of each quarterly installment payable on the Term Loan equals $1.1 million through and including the maturity date, with the maturity date payment equal to the outstanding amount of the loan on that date.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8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2022, the Company was in compliance with all provisions under the facility.</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facility. Deferred financing costs of $330,000 and $366,000 (net of amortization) as of June 30, 2022, and December 31, 2021, respectively, are presented as reductions in long-term debt in the Company’s Consolidated Balance Sheets.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had no outstanding borrowings under the Revolver at June 30, 2022 and December 31, 2021; and unused borrowing capacity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available was approximately $36.8 million and $32.4 million, respectively. The Company’s outstanding borrowings under the term loan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$10.9 million and $13.1 million as of June 30, 2022 and December 31, 2021, respectively. Additionally, under the Term Loan agreement there is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mandatory repayment requirement related to excess cash flows (as defined in the Credit Agreement) generated in a given fiscal year. This provision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takes effect in first quarter of 2023 should the Company senior leverage ratio exceeds 1.50x. The Company is considering early paying portions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term loan with excess cash balances over the remainder of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Financial Statements, consisted of the following for the three and six months ended June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56"/>
        </w:trPr>
        <w:tc>
          <w:tcPr>
            <w:tcW w:w="6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3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3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3"/>
                <w:szCs w:val="13"/>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7,173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r>
      <w:tr>
        <w:trPr>
          <w:trHeight w:val="223"/>
        </w:trPr>
        <w:tc>
          <w:tcPr>
            <w:tcW w:w="6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subsidiaries organized in jurisdictions outside the United States, which generate revenues from non-U.S.-based clients. Additionally, these subsidiaries provide services to the Company’s U.S. parents. Accordingly, the Company allocates a portion of its income to these subsidiaries based on a “transfer pricing” model and reports such income as foreign in the above table.</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as shown in the accompanying Financial Statements, consisted of the following for the three and six months ended June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3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3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32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20" w:type="dxa"/>
            <w:vAlign w:val="bottom"/>
          </w:tcPr>
          <w:p>
            <w:pPr>
              <w:spacing w:after="0"/>
              <w:rPr>
                <w:sz w:val="20"/>
                <w:szCs w:val="20"/>
                <w:color w:val="auto"/>
              </w:rPr>
            </w:pPr>
          </w:p>
        </w:tc>
        <w:tc>
          <w:tcPr>
            <w:tcW w:w="66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for income taxes for the three and six months ended June 30, 2022 and 2021 were as follows (amounts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 options/restricted shares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14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$ 1,441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2"/>
              </w:rPr>
              <w:t>$ 1,429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8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386</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 options/restricted shares</w:t>
            </w:r>
          </w:p>
        </w:tc>
        <w:tc>
          <w:tcPr>
            <w:tcW w:w="8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$ 2,095</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$ 1,872</w:t>
            </w:r>
          </w:p>
        </w:tc>
        <w:tc>
          <w:tcPr>
            <w:tcW w:w="30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June 30, 2022, our valuation allowance was comprised of balances within locations of Singapore, the United Kingdom and Ireland. The valuation allowance balances at these locations totaled $515,000 and $311,000 as of June 30, 2022 and December 31, 2021, respectively, and reflect net operating losses which may not be realizable in the future.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Canadian subsidiary is currently under audit by Revenue Canada for the years 2018 and 2019.</w:t>
      </w:r>
    </w:p>
    <w:p>
      <w:pPr>
        <w:spacing w:after="0" w:line="370"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Risk Management</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Concurrent with the Company’s July 13, 2017 borrowings under its credit facility, the Company entered into a 44–month interest-rate swap to convert the debt’s variable interest rate to a fixed rate of interest. The swap contracts, which matured on April 1, 2021, were designated as cash flow hedging instruments and qualified as effective hedges at inception under ASC Topic 815, “Derivatives and Hedging”. These contracts were recognized on the balance sheet at fair value. The effective portion of the changes in fair value on these instruments was recorded in other comprehensive income (loss) and was reclassified into the Consolidated Statements of Operations as interest expense in the same period in which the underlying hedge transaction affected earnings. Because the interest-rate swap contracts matured, they had no value as of June 30, 2022, and December 31, 2021, therefore there is no balance reflected in the Consolidated Balance Sheets for these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was no impact on the Consolidated Statements of Operations and Comprehensive Income (“OCI”) for the three and six months ended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June 30, 2022. The effect of derivative instruments on the Consolidated Statements of Operations and OCI for the three and six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June 30, 2021 are as follows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w:t>
            </w:r>
          </w:p>
        </w:tc>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620" w:type="dxa"/>
            <w:vAlign w:val="bottom"/>
            <w:gridSpan w:val="2"/>
            <w:vMerge w:val="continue"/>
          </w:tcPr>
          <w:p>
            <w:pPr>
              <w:spacing w:after="0"/>
              <w:rPr>
                <w:sz w:val="12"/>
                <w:szCs w:val="12"/>
                <w:color w:val="auto"/>
              </w:rPr>
            </w:pPr>
          </w:p>
        </w:tc>
        <w:tc>
          <w:tcPr>
            <w:tcW w:w="168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ASC Topic 815</w:t>
            </w:r>
          </w:p>
        </w:tc>
        <w:tc>
          <w:tcPr>
            <w:tcW w:w="16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68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8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780" w:type="dxa"/>
            <w:vAlign w:val="bottom"/>
          </w:tcPr>
          <w:p>
            <w:pPr>
              <w:spacing w:after="0"/>
              <w:rPr>
                <w:sz w:val="15"/>
                <w:szCs w:val="15"/>
                <w:color w:val="auto"/>
              </w:rPr>
            </w:pPr>
          </w:p>
        </w:tc>
        <w:tc>
          <w:tcPr>
            <w:tcW w:w="168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6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color w:val="auto"/>
              </w:rPr>
              <w:t>(Ineffective Portion/Amounts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left="704"/>
              <w:spacing w:after="0" w:line="149" w:lineRule="exact"/>
              <w:rPr>
                <w:sz w:val="20"/>
                <w:szCs w:val="20"/>
                <w:color w:val="auto"/>
              </w:rPr>
            </w:pPr>
            <w:r>
              <w:rPr>
                <w:rFonts w:ascii="Times New Roman" w:cs="Times New Roman" w:eastAsia="Times New Roman" w:hAnsi="Times New Roman"/>
                <w:sz w:val="14"/>
                <w:szCs w:val="14"/>
                <w:color w:val="auto"/>
              </w:rPr>
              <w:t>excluded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(Effective Portion)</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(Effective Portion)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(Effective Portion)</w:t>
            </w: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from effectiveness testing)</w:t>
            </w:r>
          </w:p>
        </w:tc>
        <w:tc>
          <w:tcPr>
            <w:tcW w:w="0" w:type="dxa"/>
            <w:vAlign w:val="bottom"/>
          </w:tcPr>
          <w:p>
            <w:pPr>
              <w:spacing w:after="0"/>
              <w:rPr>
                <w:sz w:val="1"/>
                <w:szCs w:val="1"/>
                <w:color w:val="auto"/>
              </w:rPr>
            </w:pPr>
          </w:p>
        </w:tc>
      </w:tr>
      <w:tr>
        <w:trPr>
          <w:trHeight w:val="177"/>
        </w:trPr>
        <w:tc>
          <w:tcPr>
            <w:tcW w:w="262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Interest-Rate Swap Contract</w:t>
            </w:r>
          </w:p>
        </w:tc>
        <w:tc>
          <w:tcPr>
            <w:tcW w:w="16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Interest-Rate Swap Contract</w:t>
            </w:r>
          </w:p>
        </w:tc>
        <w:tc>
          <w:tcPr>
            <w:tcW w:w="16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5" w:lineRule="exact"/>
        <w:rPr>
          <w:sz w:val="20"/>
          <w:szCs w:val="20"/>
          <w:color w:val="auto"/>
        </w:rPr>
      </w:pPr>
    </w:p>
    <w:p>
      <w:pPr>
        <w:jc w:val="center"/>
        <w:ind w:left="5540" w:right="1660" w:hanging="4439"/>
        <w:spacing w:after="0" w:line="454" w:lineRule="auto"/>
        <w:tabs>
          <w:tab w:leader="none" w:pos="15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observable quoted prices (unadjusted) in active markets for identical assets and liabilities. 16</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right="140" w:hanging="439"/>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that are supported by little or no market activity.</w:t>
      </w:r>
    </w:p>
    <w:p>
      <w:pPr>
        <w:spacing w:after="0" w:line="19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prior periods, the company carried interest-rate swap contracts and contingent consideration liabilities at fair value measured on a recurring basis. At June 30, 2022 and December 31, 2021, the Company did not have any balances in the financial statements related to these items as the swap matured on April 1, 2021 and the contingent consideration was revalued to zero as of December 31, 2021.</w:t>
      </w:r>
    </w:p>
    <w:p>
      <w:pPr>
        <w:spacing w:after="0" w:line="199"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purchases shares to satisfy employee tax obligations related to its Stock Incentive Plan. The Company did not purchase any shares during the six months ended June 30, 2022 and 2021.</w:t>
      </w:r>
    </w:p>
    <w:p>
      <w:pPr>
        <w:spacing w:after="0" w:line="18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3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there were 403,000 and 211,000 anti-dilutive stock options excluded from the computation of diluted earnings per share. For the three and six months ended June 30, 2021, there were 270,000 anti-dilutive stock options excluded from the computation of diluted earnings per share.</w:t>
      </w:r>
    </w:p>
    <w:p>
      <w:pPr>
        <w:spacing w:after="0" w:line="199"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1"/>
              </w:rPr>
              <w:t>(Amounts</w:t>
            </w:r>
          </w:p>
        </w:tc>
        <w:tc>
          <w:tcPr>
            <w:tcW w:w="4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46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11,250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21,402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50,867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44,708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99"/>
              </w:rPr>
              <w:t>100,470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85,689</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62,117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53,658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121,872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103,433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6,650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8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8"/>
                <w:szCs w:val="18"/>
                <w:color w:val="auto"/>
              </w:rPr>
            </w:pPr>
          </w:p>
        </w:tc>
        <w:tc>
          <w:tcPr>
            <w:tcW w:w="9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3"/>
        </w:trPr>
        <w:tc>
          <w:tcPr>
            <w:tcW w:w="5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00"/>
          </w:cols>
          <w:pgMar w:left="320" w:top="482" w:right="479" w:bottom="1440" w:gutter="0" w:footer="0" w:header="0"/>
        </w:sect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82" w:right="4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(Amounts</w:t>
            </w:r>
          </w:p>
        </w:tc>
        <w:tc>
          <w:tcPr>
            <w:tcW w:w="40" w:type="dxa"/>
            <w:vAlign w:val="bottom"/>
          </w:tcPr>
          <w:p>
            <w:pPr>
              <w:spacing w:after="0"/>
              <w:rPr>
                <w:sz w:val="13"/>
                <w:szCs w:val="13"/>
                <w:color w:val="auto"/>
              </w:rPr>
            </w:pPr>
          </w:p>
        </w:tc>
        <w:tc>
          <w:tcPr>
            <w:tcW w:w="3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58,680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119,141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1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64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w w:val="87"/>
              </w:rPr>
              <w:t>(Amounts</w:t>
            </w:r>
          </w:p>
        </w:tc>
        <w:tc>
          <w:tcPr>
            <w:tcW w:w="34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34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$ 60,468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51,532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95"/>
              </w:rPr>
              <w:t>118,815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99,474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$ 62,117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$ 53,658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121,872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amendments in this ASU require annual disclosures to increase the transparency of government assistance received by a business entity including information about the nature of the government transactions, related accounting policy, the line items on the balance sheet and income statement that are affected, amounts applicable to each financial statement line item, and significant terms and conditions of the transactions, including commitments and contingencies. The amendments in this ASU are effective for annual periods beginning after December 15, 2021. We adopted this ASU on January 1, 2022, with no material impact on our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Early adoption is permitted. The Company does not expect this ASU to have a material impact on its financial statements.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69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2021, included in our Annual Report on Form 10-K, filed with the Securities and Exchange Commission (“SEC”) on March 14, 2022.</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2021.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Company’s website is </w:t>
      </w:r>
      <w:r>
        <w:rPr>
          <w:rFonts w:ascii="Times New Roman" w:cs="Times New Roman" w:eastAsia="Times New Roman" w:hAnsi="Times New Roman"/>
          <w:sz w:val="18"/>
          <w:szCs w:val="18"/>
          <w:u w:val="single" w:color="auto"/>
          <w:color w:val="auto"/>
        </w:rPr>
        <w:t>www.mastechdigital.com</w:t>
      </w:r>
      <w:r>
        <w:rPr>
          <w:rFonts w:ascii="Times New Roman" w:cs="Times New Roman" w:eastAsia="Times New Roman" w:hAnsi="Times New Roman"/>
          <w:sz w:val="18"/>
          <w:szCs w:val="18"/>
          <w:color w:val="auto"/>
        </w:rPr>
        <w:t>. The Company’s Annual Report on Form 10-K for the year ended December 31, 2021,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six months ended June 30, 2022.</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This impact was reduced in 2021 as a result of the global roll-out of vaccination programs and signs of improving economic conditions. We are hopeful that COVID-19 related concerns will be less impactful on our business in 2022. The proliferation of COVID-19 variants, however, has caused some uncertainty and may continue to disrupt global markets during 2022. In addition, we are mindful of inflationary pressures and overall economic concerns regarding the potential for recessionary conditions in 2022 and beyond.</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2021).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IT staffing gross margins in the future.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during 2022.</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Within our Data and Analytics Services segment many customers are satisfying their D&amp;A needs using a holistic approach. This often results in the customer using one vendor partner rather than with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D&amp;A and effectively address such needs.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2022 as Compared to the Three Months Ended June 30, 2021: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June 30, 2022 totaled $62.1 million compared to $53.7 million for the corresponding three month period in 2021. This 16% year-over-year revenue increase reflected a 26% organic increase in our Data and Analytics Services segment and a 14% organic increase in our IT Staffing Services segment. For the three months ended June 30, 2022, the Company had one client that had revenues in excess of 10% of total revenues (CGI = 22.3%). For the three months ended June 30, 2021, the Company had the same one client with revenues in excess of 10% of total revenues (CGI = 14.8%). The Company’s top ten clients represented approximately 52% and 48% of total revenues for the three months ended June 30, 2022 and 2021,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June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44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62.1</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firstLine="440"/>
        <w:spacing w:after="0" w:line="289" w:lineRule="auto"/>
        <w:rPr>
          <w:sz w:val="20"/>
          <w:szCs w:val="20"/>
          <w:color w:val="auto"/>
        </w:rPr>
      </w:pPr>
      <w:r>
        <w:rPr>
          <w:rFonts w:ascii="Times New Roman" w:cs="Times New Roman" w:eastAsia="Times New Roman" w:hAnsi="Times New Roman"/>
          <w:sz w:val="17"/>
          <w:szCs w:val="17"/>
          <w:color w:val="auto"/>
        </w:rPr>
        <w:t>Revenues from our Data and Analytics Services segment totaled $11.2 million in the second quarter ended June 30, 2022, compared to $9.0 million in the corresponding period last year. The year-over-year improvement of 26% reflected an increase in backlog in the 2022 period compared to 2021. New bookings in the second quarter of 2022 totaled approximately $10 million compared to $15 million in the 2021 quarter.</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Revenues from our IT Staffing Services segment totaled $50.9 million in the three months ended June 30, 2022 compared to $44.7 million during the corresponding 2021 period. This 14% increase reflected higher demand and resulted in a higher level of billable consultants in the 2022 quarter compared to 2021. Billable consultants at June 30, 2022 totaled 1,344-consultants compared to totaled 1,251-consultants one-year earlier. Our average bill rate during the second quarter of 2022 was $80.15 per hour compared to $74.65 per hour in the corresponding 2021 quarter. The increase in average bill rate was due to higher rates on new assignments during the first half of 2022 and was reflective of the types of skill-sets that we deployed. Permanent placement / fee revenues were approximately $0.5 million during the 2022 quarter, which were $0.3 million higher than in the corresponding 2021 quarter.</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Gross profits in the second quarter of 2022 totaled $16.7 million and exceeded the second quarter of 2021 gross profits by approximately</w:t>
      </w:r>
    </w:p>
    <w:p>
      <w:pPr>
        <w:spacing w:after="0" w:line="27" w:lineRule="exact"/>
        <w:rPr>
          <w:sz w:val="20"/>
          <w:szCs w:val="20"/>
          <w:color w:val="auto"/>
        </w:rPr>
      </w:pPr>
    </w:p>
    <w:p>
      <w:pPr>
        <w:jc w:val="both"/>
        <w:ind w:left="120" w:right="240"/>
        <w:spacing w:after="0" w:line="260" w:lineRule="auto"/>
        <w:rPr>
          <w:sz w:val="20"/>
          <w:szCs w:val="20"/>
          <w:color w:val="auto"/>
        </w:rPr>
      </w:pPr>
      <w:r>
        <w:rPr>
          <w:rFonts w:ascii="Times New Roman" w:cs="Times New Roman" w:eastAsia="Times New Roman" w:hAnsi="Times New Roman"/>
          <w:sz w:val="18"/>
          <w:szCs w:val="18"/>
          <w:color w:val="auto"/>
        </w:rPr>
        <w:t>$2.4 million. Gross profit as a percentage of revenue was 27.0% for the three-month period ended June 30, 2022 compared to 26.7% during the same period of 2021. This improvement in gross margins reflected higher margins in our IT Staffing Services segment.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June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620" w:type="dxa"/>
            <w:vAlign w:val="bottom"/>
            <w:vMerge w:val="restart"/>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43.6%</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23.3</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27.0%</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43.6% of revenues during the second quarter of 2022, which represented a decline of 310-basis points from a year ago. The margin decline reflected much lower utilization in the 2022 quarter due to a 22% increase in billable staff in anticipation of higher activity levels in the second half of 2022. Many of these resources were in training-programs during the second quarter, which negatively impacted utilization.</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23.3% in the second quarter of 2022 compared to 22.7% during the corresponding quarter of 2021. This 60-basis point expansion was due higher permanent placement fees, higher revenues from our high-margin offshore staffing offering and better gross margins on new assignments secured during the last several quarters.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operations, amortization of acquired intangible assets, the revaluation of contingent consideration and general and administrative categories for the three months ended June 30, 2022 and 2021, respectively: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880" w:type="dxa"/>
            <w:vAlign w:val="bottom"/>
          </w:tcPr>
          <w:p>
            <w:pPr>
              <w:spacing w:after="0"/>
              <w:rPr>
                <w:sz w:val="13"/>
                <w:szCs w:val="13"/>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0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0"/>
        </w:trPr>
        <w:tc>
          <w:tcPr>
            <w:tcW w:w="22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IT Staffing Services Segment</w:t>
            </w:r>
          </w:p>
        </w:tc>
        <w:tc>
          <w:tcPr>
            <w:tcW w:w="18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0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8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13.2</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S,G&amp;A expenses for the three months ended June 30, 2022 totaled $13.2 million or 21.2% of total revenues, compared to $9.0 million or 16.8% of total revenues for the three months ended June 30, 2021. Excluding the revaluation of contingent consideration in the 2021 period and the amortization of acquired intangible assets in both periods, S,G&amp;A expense as a percentage of total revenues would have been 20.0% and 19.0%, respectively.</w:t>
      </w:r>
    </w:p>
    <w:p>
      <w:pPr>
        <w:spacing w:after="0" w:line="15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second quarter of 2022, compared to the second quarter of 2021, included the following:</w:t>
      </w:r>
    </w:p>
    <w:p>
      <w:pPr>
        <w:spacing w:after="0" w:line="67" w:lineRule="exact"/>
        <w:rPr>
          <w:sz w:val="20"/>
          <w:szCs w:val="20"/>
          <w:color w:val="auto"/>
        </w:rPr>
      </w:pPr>
    </w:p>
    <w:p>
      <w:pPr>
        <w:ind w:left="1080" w:right="2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$0.9 million in the 2022 period compared to the corresponding 2021 period. Approximately $0.4 million related to our Data and Analytics Services segment, which reflected additional staff and higher variable compensation. Sales expense in our IT Staffing segment increased by $0.5 million largely due to staff increases and higher variable compensation.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$0.6 million in the 2022 period compared to the corresponding 2021 period. In our Data and Analytics Services segment operating expense declined by $0.1 million due to lower staff. In our IT Staffing Services segment operating expense increased by $0.7 million related to staff increases and higher variable expenses to support revenue growth.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$0.8 million in both the 2022 and 2021 periods.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Revaluation of contingent consideration totaled a credit of $2.0 million in the 2021 period and related to the AmberLeaf acquisition. No contingent consideration existed on the Company’s balance sheet in 2022.</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increased by $0.7 million in the 2022 period compared to the corresponding 2021 period. General and administrative expense in our Data and Analytics Services segment increased by $0.3 million due to executive leadership staff increases. In our IT Staffing Services segment, general and administrative expense increased by $0.4 million due to higher compensation expense and increases in travel and facility expenses.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 (Expense) for the three months ended June 30, 2022 consisted of interest expense of ($127,000) and foreign exchange gains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$195,000. For the three months ended June 30, 2021, Other Income / (Expense) consisted of interest expense of ($159,000) and foreign exchange gains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$15,000. The favorable foreign exchange gains reflected a stronger U.S. dollar in the 2022 quarter.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June 30, 2022 totaled $1.2 million, representing an effective tax rate on pre-tax income of 32.6% compared to $1.4 million for the three months ended June 30, 2021, which represented a 27.7% effective tax rate on pre-tax income. The higher effective tax rate in the 2022 period was due to an increase in our tax valuation allowance related to foreign net operating losses (“NOL’s) in Singapore, Ireland and the UK and additional tax expense associated with forfeited vested stock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2022 as Compared to the Six Months Ended June 30, 2021: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160" w:firstLine="440"/>
        <w:spacing w:after="0" w:line="270" w:lineRule="auto"/>
        <w:rPr>
          <w:sz w:val="20"/>
          <w:szCs w:val="20"/>
          <w:color w:val="auto"/>
        </w:rPr>
      </w:pPr>
      <w:r>
        <w:rPr>
          <w:rFonts w:ascii="Times New Roman" w:cs="Times New Roman" w:eastAsia="Times New Roman" w:hAnsi="Times New Roman"/>
          <w:sz w:val="17"/>
          <w:szCs w:val="17"/>
          <w:color w:val="auto"/>
        </w:rPr>
        <w:t>Revenues for the six months ended June 30, 2022 totaled $121.9 million compared to $103.4 million for the corresponding six month period in 2021. This 18% year-over-year revenue increase reflected a 21% increase in and Data and Analytics Services segment and a 17% increase in our IT Staffing Services segment. For the six months ended June 30, 2022, the Company had one client that had revenues in excess of 10% of total revenues (CGI = 20.1%). For the six months ended June 30, 2021, the Company had the same one client that had revenues in excess of 10% of total revenues</w:t>
      </w:r>
    </w:p>
    <w:p>
      <w:pPr>
        <w:spacing w:after="0" w:line="3"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(CGI = 14.9%). The Company’s top ten clients represented approximately 52% and 48% of total revenues for the six months ended June 30, 2022 and 2021, respectively.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six months ended June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660" w:type="dxa"/>
            <w:vAlign w:val="bottom"/>
            <w:vMerge w:val="restart"/>
          </w:tcPr>
          <w:p>
            <w:pPr>
              <w:spacing w:after="0"/>
              <w:rPr>
                <w:sz w:val="13"/>
                <w:szCs w:val="13"/>
                <w:color w:val="auto"/>
              </w:rPr>
            </w:pPr>
          </w:p>
        </w:tc>
        <w:tc>
          <w:tcPr>
            <w:tcW w:w="160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121.9</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Revenues from our Data and Analytics Services segment totaled $21.4 million during the six months ended June 30, 2022, compared to</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$17.7 million in the corresponding six-month period last year. The 21% year-over-year improvement reflected improved backlog in the 2022 period.</w:t>
      </w:r>
    </w:p>
    <w:p>
      <w:pPr>
        <w:spacing w:after="0" w:line="20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Revenues from our IT Staffing Services segment totaled $100.5 million in the six months ended June 30, 2022 compared to $85.7 million during the corresponding 2021 period. This 17% increase reflected a higher level of billable consultants; an improved average bill rate ($79.57 in 2022 versus $74.89 in 2021) and higher permanent placement revenues in the 2022 period versus 2021.</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Gross profits in the six months ended June 30, 2022 totaled $32.7 million compared to $27.1 million in the corresponding period last year. Gross profit as a percentage of revenue was 26.8% for the six month period ended June 30, 2022 compared to 26.2% during the same period of 2021. This 60-basis point improvement largely reflected a favorable mix of revenues between our two operating segments and higher gross margins in our IT Staffing Services segment.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six months ended June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200" w:type="dxa"/>
            <w:vAlign w:val="bottom"/>
            <w:vMerge w:val="restart"/>
          </w:tcPr>
          <w:p>
            <w:pPr>
              <w:spacing w:after="0"/>
              <w:rPr>
                <w:sz w:val="13"/>
                <w:szCs w:val="13"/>
                <w:color w:val="auto"/>
              </w:rPr>
            </w:pPr>
          </w:p>
        </w:tc>
        <w:tc>
          <w:tcPr>
            <w:tcW w:w="1800" w:type="dxa"/>
            <w:vAlign w:val="bottom"/>
          </w:tcPr>
          <w:p>
            <w:pPr>
              <w:spacing w:after="0"/>
              <w:rPr>
                <w:sz w:val="13"/>
                <w:szCs w:val="13"/>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216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3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8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44.3%</w:t>
            </w:r>
          </w:p>
        </w:tc>
        <w:tc>
          <w:tcPr>
            <w:tcW w:w="134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800" w:type="dxa"/>
            <w:vAlign w:val="bottom"/>
          </w:tcPr>
          <w:p>
            <w:pPr>
              <w:spacing w:after="0"/>
              <w:rPr>
                <w:sz w:val="18"/>
                <w:szCs w:val="18"/>
                <w:color w:val="auto"/>
              </w:rPr>
            </w:pPr>
          </w:p>
        </w:tc>
        <w:tc>
          <w:tcPr>
            <w:tcW w:w="2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23.1</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18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26.8%</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44.3% of revenues during the six month period ended June 30, 2022 compared to 46.2% in the corresponding period of 2021. This gross margin decline reflects lower utilization during the first six months of 2022 primarily driven by 22% increase in billable staff in the second quarter of 2022 in anticipation of higher activity levels in the second half of 2022.</w:t>
      </w:r>
    </w:p>
    <w:p>
      <w:pPr>
        <w:spacing w:after="0" w:line="176"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23.1% in the six months ended June 30, 2022 compared to 22.1% during the corresponding period of 2021. This 100-basis point expansion was due to better gross margins on new assignments secured during the last several quarters; higher permanent placement revenues and increased activity levels from our offshore staffing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sales, operations, amortization of acquired intangible assets, the revaluation of contingent consideration and general and administrative categories for the six months ended June 30, 2022 and 2021, respectively: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060" w:type="dxa"/>
            <w:vAlign w:val="bottom"/>
          </w:tcPr>
          <w:p>
            <w:pPr>
              <w:spacing w:after="0"/>
              <w:rPr>
                <w:sz w:val="13"/>
                <w:szCs w:val="13"/>
                <w:color w:val="auto"/>
              </w:rPr>
            </w:pPr>
          </w:p>
        </w:tc>
        <w:tc>
          <w:tcPr>
            <w:tcW w:w="15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Six Months Ended</w:t>
            </w:r>
          </w:p>
        </w:tc>
        <w:tc>
          <w:tcPr>
            <w:tcW w:w="40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2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1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06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20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90"/>
        </w:trPr>
        <w:tc>
          <w:tcPr>
            <w:tcW w:w="22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IT Staffing Services Segment</w:t>
            </w:r>
          </w:p>
        </w:tc>
        <w:tc>
          <w:tcPr>
            <w:tcW w:w="19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2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1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S,G&amp;A expenses for the six months ended June 30, 2022 totaled $25.8 million or 21.2% of total revenues, compared to $19.9 million or 19.2% of total revenues for the six months ended June 30, 2021. Excluding the revaluation of contingent consideration in the 2021 period and the amortization of acquired intangible assets in both periods, S,G,&amp;A expense as a percentage of total revenues would have been 19.8% and 19.6%, respectively.</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six months of 2022, compared to the first six months of 2021, included the following:</w:t>
      </w:r>
    </w:p>
    <w:p>
      <w:pPr>
        <w:spacing w:after="0" w:line="67" w:lineRule="exact"/>
        <w:rPr>
          <w:sz w:val="20"/>
          <w:szCs w:val="20"/>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$1.7 million in the 2022 period compared to the corresponding 2021 period. An increase of $0.5 million related to our Data and Analytics Services segment which reflected additional staff and higher variable compensation. Sales expense in our IT Staffing Services segment increased by $1.2 million due to staff increases, higher variable compensation and higher travel expenses.</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by $1.2 million in the 2022 period compared to the corresponding 2021 period. In our Data and Analytics Services segment operations expense decreased $0.3 million due to lower staff. Operations expense in our IT Staffing Services segment increased by $1.5 million largely related to staff increases and higher variable expense to support revenue growth.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$1.6 million in both the 2022 and 2021 periods.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Revaluation of contingent consideration totaled a credit of $2.0 million in the 2021 period and related to the AmberLeaf acquisition. No contingent consideration existed on the Company’s balance sheet in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increased by $1.0 million in the 2022 period compared to the corresponding 2021 period. General and administrative expense in our Data and Analytics Services segment increased by $0.4 million due to executive leadership staff increases and executive search fees. The increase in our IT Staffing Services segment of $0.6 million was due to higher compensation and increases in travel and facility expenses.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Other Income / (Expense) for the six months ended June 30, 2022 consisted of interest expense of ($241,000) and foreign exchange gains of</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$249,000. For the six months ended June 30, 2021, Other Income / (Expense) consisted of interest expense of ($354,000) and foreign exchange losses of ($22,000). The lower level of interest expense was reflective of debt repayments and the favorable foreign exchange gains reflected a stronger U.S. dollar in the 2022 period.</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six months ended June 30, 2022 totaled $2.1 million, representing an effective tax rate on pre-tax income of 30.5% compared to $1.9 million for the six months ended June 30, 2021, which represented a 27.5% effective tax rate on pre-tax income. The higher effective tax rate in the 2022 period was largely due to an increase in our tax valuation allowance related to foreign net operating losses (“NOL’s”) in Singapore, Ireland and the UK and additional tax expense associated with forfeited vested stock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At June 30, 2022, we had bank debt, net of cash balances on hand, of $4.2 million and approximately $36.8 million of borrowing capacity under our existing credit facility.</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At June 30, 2022, our accounts receivable “days sales outstanding” (“DSOs”) measurement was 67-days, which was three days higher than our DSO measurement at March 31, 2022, which is on the high-end of our targeted range and we would expect this number to come down over the next several quarters. We believe that cash provided by operating activities, cash balances on hand and current availability under our credit facility will be adequate to fund our business needs and debt service obligations over the next twelve months, exclusive of any acquisition activity.</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2022 totaled $1.9 million compared to cash provided by operating activities of $0.2 million during the six months ended June 30, 2021. Elements of cash flow during the 2022 period were net income of $4.8 million, non-cash charges of $3.8 million and an increase in operating working capital levels of ($6.7 million). Elements of cash flow during the corresponding 2021 period were net income of $4.9 million, non-cash charges of $1.9 million and an increase in operating working capital levels of ($6.6 million). The operating working capital increases in both 2022 and 2021 were largely in support of our revenue growth.</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2022 was ($693,000) compared to ($525,000) for the six months ended June 30, 2021. In 2022 capital expenditures and the recovery of office lease deposits accounted for investing activities. In 2021 capital expenditures and the payment of office lease deposits accounted for investing activities. Capital expenditures in the 2022 period increased from 2021 due to systems implementation expenditures.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financing activities for the six months ended June 30, 2022 totaled ($0.7 million) and consisted of term loan debt repayments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 million), partially offset by $1.5 million related to proceeds from the issuance of common shares and the exercise of stock options. Cash (used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activities for the six months ended June 30, 2021 totaled ($1.9 million) and consisted of term loan repayments of ($2.2 million), partially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offset by $0.3 million related to proceeds from the issuance of common shares and the exercise of stock options.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698"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seeking to ensure that billing rates are adjusted periodically to reflect increases in costs due to inflation. However, high levels of inflation may result in an increase in our selling, general and administrative expenses, as well as a higher interest rate environment.</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16 to the accompanying financial statements.</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June 30, 2022, we had outstanding borrowings of $10.9 million under our Credit Agreement with PNC Bank and certain other financial institution lenders — Refer to Note 9 – “Credit Facility” in the Notes to Condensed Consolidated Financial Statements, included herein. A hypothetical 10% increase in interest rates on our variable debt outstanding at June 30, 2022 would have an increase in our annual interest expense of approximately $45,000. As of June 30, 2022, the Company has no interest-rate hedge vehicles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 A hypothetical 10% increase or decrease in overall foreign currency rates would not have had a material impact on our consolidated financial statements.</w:t>
      </w:r>
    </w:p>
    <w:p>
      <w:pPr>
        <w:spacing w:after="0" w:line="31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ectPr>
          <w:pgSz w:w="11900" w:h="16838" w:orient="portrait"/>
          <w:cols w:equalWidth="0" w:num="1">
            <w:col w:w="11100"/>
          </w:cols>
          <w:pgMar w:left="320" w:top="482"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June 30, 2022 that materially affected, or are reasonably likely to materially affect, our internal control over financial reporting.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2021, filed with the SEC on March 14, 2022.</w:t>
      </w:r>
    </w:p>
    <w:p>
      <w:pPr>
        <w:spacing w:after="0" w:line="30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gridSpan w:val="1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Schedule A-6, dated March 9, 2022, to Fourth Amended and Restated Executive Employment Agreement, dated as of March 20, 2019,</w:t>
              </w:r>
            </w:hyperlink>
          </w:p>
        </w:tc>
      </w:tr>
      <w:tr>
        <w:trPr>
          <w:trHeight w:val="196"/>
        </w:trPr>
        <w:tc>
          <w:tcPr>
            <w:tcW w:w="110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between Mastech Digital Technologies, Inc., Mastech Digital, Inc. and Vivek Gupta (incorporated by reference to Exhibit 10.1 to</w:t>
              </w:r>
            </w:hyperlink>
          </w:p>
        </w:tc>
        <w:tc>
          <w:tcPr>
            <w:tcW w:w="42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780" w:type="dxa"/>
            <w:vAlign w:val="bottom"/>
            <w:gridSpan w:val="12"/>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Mastech Digital, Inc.’s Current Report on Form 8-K, filed with the Securities and Exchange Commission on March 11, 2022).</w:t>
              </w:r>
            </w:hyperlink>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10.2</w:t>
            </w:r>
          </w:p>
        </w:tc>
        <w:tc>
          <w:tcPr>
            <w:tcW w:w="9780" w:type="dxa"/>
            <w:vAlign w:val="bottom"/>
            <w:gridSpan w:val="12"/>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Schedule A-11, dated March 9, 2022, to Third Amended and Restated Executive Employment Agreement, dated as of March 20, 2019,</w:t>
              </w:r>
            </w:hyperlink>
          </w:p>
        </w:tc>
      </w:tr>
      <w:tr>
        <w:trPr>
          <w:trHeight w:val="196"/>
        </w:trPr>
        <w:tc>
          <w:tcPr>
            <w:tcW w:w="110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between Mastech Digital Technologies, Inc., Mastech Digital, Inc. and John J. Cronin, Jr. (incorporated by reference to Exhibit 10.2 to</w:t>
              </w:r>
            </w:hyperlink>
          </w:p>
        </w:tc>
        <w:tc>
          <w:tcPr>
            <w:tcW w:w="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6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Mastech Digital, Inc.’s Current Report on Form 8-K, filed with the Securities and Exchange Commission on March 11, 2022).</w:t>
              </w:r>
            </w:hyperlink>
          </w:p>
        </w:tc>
        <w:tc>
          <w:tcPr>
            <w:tcW w:w="10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10.3</w:t>
            </w:r>
          </w:p>
        </w:tc>
        <w:tc>
          <w:tcPr>
            <w:tcW w:w="9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Executive Employment Agreement, dated as of March 28, 2022, between Mastech InfoTrellis, Inc., Mastech Digital Data, Inc., and</w:t>
              </w:r>
            </w:hyperlink>
          </w:p>
        </w:tc>
        <w:tc>
          <w:tcPr>
            <w:tcW w:w="32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Ganeshan Venkateshwaran (incorporated by reference to Exhibit 10.1 to Mastech Digital, Inc.’s Current Report on Form 8-K, filed with</w:t>
              </w:r>
            </w:hyperlink>
          </w:p>
        </w:tc>
      </w:tr>
      <w:tr>
        <w:trPr>
          <w:trHeight w:val="196"/>
        </w:trPr>
        <w:tc>
          <w:tcPr>
            <w:tcW w:w="110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the Securities and Exchange Commission on March 30, 2022).</w:t>
              </w:r>
            </w:hyperlink>
          </w:p>
        </w:tc>
        <w:tc>
          <w:tcPr>
            <w:tcW w:w="5260" w:type="dxa"/>
            <w:vAlign w:val="bottom"/>
            <w:gridSpan w:val="9"/>
          </w:tcPr>
          <w:p>
            <w:pPr>
              <w:spacing w:after="0"/>
              <w:rPr>
                <w:sz w:val="17"/>
                <w:szCs w:val="17"/>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31.1</w:t>
            </w:r>
          </w:p>
        </w:tc>
        <w:tc>
          <w:tcPr>
            <w:tcW w:w="8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1040" w:type="dxa"/>
            <w:vAlign w:val="bottom"/>
            <w:gridSpan w:val="7"/>
          </w:tcPr>
          <w:p>
            <w:pPr>
              <w:spacing w:after="0"/>
              <w:rPr>
                <w:sz w:val="24"/>
                <w:szCs w:val="24"/>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31.2</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gridSpan w:val="2"/>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40" w:type="dxa"/>
            <w:vAlign w:val="bottom"/>
            <w:tcBorders>
              <w:top w:val="single" w:sz="8" w:color="0000EE"/>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04"/>
        </w:trPr>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96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c>
          <w:tcPr>
            <w:tcW w:w="140" w:type="dxa"/>
            <w:vAlign w:val="bottom"/>
            <w:gridSpan w:val="3"/>
          </w:tcPr>
          <w:p>
            <w:pPr>
              <w:spacing w:after="0"/>
              <w:rPr>
                <w:sz w:val="17"/>
                <w:szCs w:val="17"/>
                <w:color w:val="auto"/>
              </w:rPr>
            </w:pPr>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940" w:type="dxa"/>
            <w:vAlign w:val="bottom"/>
            <w:gridSpan w:val="11"/>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0" w:lineRule="exact"/>
        <w:rPr>
          <w:sz w:val="20"/>
          <w:szCs w:val="20"/>
          <w:color w:val="auto"/>
        </w:rPr>
      </w:pPr>
    </w:p>
    <w:p>
      <w:pPr>
        <w:ind w:left="5540" w:right="3200" w:hanging="5424"/>
        <w:spacing w:after="0" w:line="454" w:lineRule="auto"/>
        <w:tabs>
          <w:tab w:leader="none" w:pos="1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28</w:t>
      </w:r>
    </w:p>
    <w:p>
      <w:pPr>
        <w:sectPr>
          <w:pgSz w:w="11900" w:h="16838" w:orient="portrait"/>
          <w:cols w:equalWidth="0" w:num="1">
            <w:col w:w="11000"/>
          </w:cols>
          <w:pgMar w:left="320" w:top="482"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15th day of August,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2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MASTECH DIGITAL, INC.</w:t>
            </w: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15, 2022</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VIVEK GUPTA</w:t>
            </w:r>
          </w:p>
        </w:tc>
      </w:tr>
      <w:tr>
        <w:trPr>
          <w:trHeight w:val="201"/>
        </w:trPr>
        <w:tc>
          <w:tcPr>
            <w:tcW w:w="58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5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Vivek Gupta</w:t>
            </w:r>
          </w:p>
        </w:tc>
      </w:tr>
      <w:tr>
        <w:trPr>
          <w:trHeight w:val="238"/>
        </w:trPr>
        <w:tc>
          <w:tcPr>
            <w:tcW w:w="5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5"/>
        </w:trPr>
        <w:tc>
          <w:tcPr>
            <w:tcW w:w="584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w:t>
            </w:r>
          </w:p>
        </w:tc>
        <w:tc>
          <w:tcPr>
            <w:tcW w:w="35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282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2022,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15, 2022</w:t>
      </w:r>
    </w:p>
    <w:p>
      <w:pPr>
        <w:sectPr>
          <w:pgSz w:w="11900" w:h="16838" w:orient="portrait"/>
          <w:cols w:equalWidth="0" w:num="1">
            <w:col w:w="11024"/>
          </w:cols>
          <w:pgMar w:left="436" w:top="117"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2022,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15,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14"/>
    </w:lvl>
  </w:abstractNum>
  <w:abstractNum w:abstractNumId="18">
    <w:nsid w:val="6763845E"/>
    <w:multiLevelType w:val="hybridMultilevel"/>
    <w:lvl w:ilvl="0">
      <w:lvlJc w:val="left"/>
      <w:lvlText w:val="%1."/>
      <w:numFmt w:val="decimal"/>
      <w:start w:val="15"/>
    </w:lvl>
  </w:abstractNum>
  <w:abstractNum w:abstractNumId="19">
    <w:nsid w:val="75A2A8D4"/>
    <w:multiLevelType w:val="hybridMultilevel"/>
    <w:lvl w:ilvl="0">
      <w:lvlJc w:val="left"/>
      <w:lvlText w:val="%1."/>
      <w:numFmt w:val="decimal"/>
      <w:start w:val="16"/>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6" Type="http://schemas.openxmlformats.org/officeDocument/2006/relationships/hyperlink" Target="http://www.sec.gov/Archives/edgar/data/1437226/000119312522073120/d305741dex101.htm" TargetMode="External"/><Relationship Id="rId47" Type="http://schemas.openxmlformats.org/officeDocument/2006/relationships/hyperlink" Target="http://www.sec.gov/Archives/edgar/data/1437226/000119312522073120/d305741dex102.htm" TargetMode="External"/><Relationship Id="rId48" Type="http://schemas.openxmlformats.org/officeDocument/2006/relationships/hyperlink" Target="http://www.sec.gov/Archives/edgar/data/1437226/000119312522089771/d30529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2022-08-15T06:40:22Z</dcterms:created>
  <dcterms:modified xsi:type="dcterms:W3CDTF">2022-08-15T06:40:22Z</dcterms:modified>
</cp:coreProperties>
</file>