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60" w:right="300" w:hanging="444"/>
        <w:spacing w:after="0" w:line="23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21" w:lineRule="exact"/>
        <w:rPr>
          <w:sz w:val="24"/>
          <w:szCs w:val="24"/>
          <w:color w:val="auto"/>
        </w:rPr>
      </w:pPr>
    </w:p>
    <w:p>
      <w:pPr>
        <w:ind w:left="560" w:right="300" w:hanging="444"/>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MASTECH DIGITAL,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1"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420" w:type="dxa"/>
            <w:vAlign w:val="bottom"/>
          </w:tcPr>
          <w:p>
            <w:pPr>
              <w:jc w:val="center"/>
              <w:ind w:right="1419"/>
              <w:spacing w:after="0"/>
              <w:rPr>
                <w:sz w:val="20"/>
                <w:szCs w:val="20"/>
                <w:color w:val="auto"/>
              </w:rPr>
            </w:pPr>
            <w:r>
              <w:rPr>
                <w:rFonts w:ascii="Arial" w:cs="Arial" w:eastAsia="Arial" w:hAnsi="Arial"/>
                <w:sz w:val="18"/>
                <w:szCs w:val="18"/>
                <w:b w:val="1"/>
                <w:bCs w:val="1"/>
                <w:color w:val="auto"/>
                <w:w w:val="93"/>
              </w:rPr>
              <w:t>PENNSYLVANIA</w:t>
            </w:r>
          </w:p>
        </w:tc>
        <w:tc>
          <w:tcPr>
            <w:tcW w:w="2700" w:type="dxa"/>
            <w:vAlign w:val="bottom"/>
          </w:tcPr>
          <w:p>
            <w:pPr>
              <w:jc w:val="right"/>
              <w:ind w:right="81"/>
              <w:spacing w:after="0"/>
              <w:rPr>
                <w:sz w:val="20"/>
                <w:szCs w:val="20"/>
                <w:color w:val="auto"/>
              </w:rPr>
            </w:pPr>
            <w:r>
              <w:rPr>
                <w:rFonts w:ascii="Arial" w:cs="Arial" w:eastAsia="Arial" w:hAnsi="Arial"/>
                <w:sz w:val="18"/>
                <w:szCs w:val="18"/>
                <w:b w:val="1"/>
                <w:bCs w:val="1"/>
                <w:color w:val="auto"/>
              </w:rPr>
              <w:t>26-2753540</w:t>
            </w:r>
          </w:p>
        </w:tc>
      </w:tr>
      <w:tr>
        <w:trPr>
          <w:trHeight w:val="149"/>
        </w:trPr>
        <w:tc>
          <w:tcPr>
            <w:tcW w:w="5420" w:type="dxa"/>
            <w:vAlign w:val="bottom"/>
          </w:tcPr>
          <w:p>
            <w:pPr>
              <w:jc w:val="center"/>
              <w:ind w:right="1419"/>
              <w:spacing w:after="0" w:line="149" w:lineRule="exact"/>
              <w:rPr>
                <w:sz w:val="20"/>
                <w:szCs w:val="20"/>
                <w:color w:val="auto"/>
              </w:rPr>
            </w:pPr>
            <w:r>
              <w:rPr>
                <w:rFonts w:ascii="Arial" w:cs="Arial" w:eastAsia="Arial" w:hAnsi="Arial"/>
                <w:sz w:val="14"/>
                <w:szCs w:val="14"/>
                <w:b w:val="1"/>
                <w:bCs w:val="1"/>
                <w:color w:val="auto"/>
                <w:w w:val="99"/>
              </w:rPr>
              <w:t>(State or other jurisdiction of</w:t>
            </w:r>
          </w:p>
        </w:tc>
        <w:tc>
          <w:tcPr>
            <w:tcW w:w="2700" w:type="dxa"/>
            <w:vAlign w:val="bottom"/>
          </w:tcPr>
          <w:p>
            <w:pPr>
              <w:jc w:val="center"/>
              <w:ind w:left="1421"/>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86"/>
        </w:trPr>
        <w:tc>
          <w:tcPr>
            <w:tcW w:w="5420" w:type="dxa"/>
            <w:vAlign w:val="bottom"/>
          </w:tcPr>
          <w:p>
            <w:pPr>
              <w:jc w:val="center"/>
              <w:ind w:right="1439"/>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left="1421"/>
              <w:spacing w:after="0"/>
              <w:rPr>
                <w:sz w:val="20"/>
                <w:szCs w:val="20"/>
                <w:color w:val="auto"/>
              </w:rPr>
            </w:pPr>
            <w:r>
              <w:rPr>
                <w:rFonts w:ascii="Arial" w:cs="Arial" w:eastAsia="Arial" w:hAnsi="Arial"/>
                <w:sz w:val="14"/>
                <w:szCs w:val="14"/>
                <w:b w:val="1"/>
                <w:bCs w:val="1"/>
                <w:color w:val="auto"/>
              </w:rPr>
              <w:t>Identification No.)</w:t>
            </w:r>
          </w:p>
        </w:tc>
      </w:tr>
      <w:tr>
        <w:trPr>
          <w:trHeight w:val="331"/>
        </w:trPr>
        <w:tc>
          <w:tcPr>
            <w:tcW w:w="5420" w:type="dxa"/>
            <w:vAlign w:val="bottom"/>
          </w:tcPr>
          <w:p>
            <w:pPr>
              <w:jc w:val="center"/>
              <w:ind w:right="1419"/>
              <w:spacing w:after="0"/>
              <w:rPr>
                <w:sz w:val="20"/>
                <w:szCs w:val="20"/>
                <w:color w:val="auto"/>
              </w:rPr>
            </w:pPr>
            <w:r>
              <w:rPr>
                <w:rFonts w:ascii="Arial" w:cs="Arial" w:eastAsia="Arial" w:hAnsi="Arial"/>
                <w:sz w:val="18"/>
                <w:szCs w:val="18"/>
                <w:b w:val="1"/>
                <w:bCs w:val="1"/>
                <w:color w:val="auto"/>
                <w:w w:val="90"/>
              </w:rPr>
              <w:t>1305 Cherrington Parkway, Building 210, Suite 400</w:t>
            </w:r>
          </w:p>
        </w:tc>
        <w:tc>
          <w:tcPr>
            <w:tcW w:w="2700" w:type="dxa"/>
            <w:vAlign w:val="bottom"/>
          </w:tcPr>
          <w:p>
            <w:pPr>
              <w:spacing w:after="0"/>
              <w:rPr>
                <w:sz w:val="24"/>
                <w:szCs w:val="24"/>
                <w:color w:val="auto"/>
              </w:rPr>
            </w:pPr>
          </w:p>
        </w:tc>
      </w:tr>
      <w:tr>
        <w:trPr>
          <w:trHeight w:val="225"/>
        </w:trPr>
        <w:tc>
          <w:tcPr>
            <w:tcW w:w="5420" w:type="dxa"/>
            <w:vAlign w:val="bottom"/>
          </w:tcPr>
          <w:p>
            <w:pPr>
              <w:jc w:val="center"/>
              <w:ind w:right="1419"/>
              <w:spacing w:after="0"/>
              <w:rPr>
                <w:sz w:val="20"/>
                <w:szCs w:val="20"/>
                <w:color w:val="auto"/>
              </w:rPr>
            </w:pPr>
            <w:r>
              <w:rPr>
                <w:rFonts w:ascii="Arial" w:cs="Arial" w:eastAsia="Arial" w:hAnsi="Arial"/>
                <w:sz w:val="18"/>
                <w:szCs w:val="18"/>
                <w:b w:val="1"/>
                <w:bCs w:val="1"/>
                <w:color w:val="auto"/>
                <w:w w:val="88"/>
              </w:rPr>
              <w:t>Moon Township, Pennsylvania</w:t>
            </w:r>
          </w:p>
        </w:tc>
        <w:tc>
          <w:tcPr>
            <w:tcW w:w="2700" w:type="dxa"/>
            <w:vAlign w:val="bottom"/>
          </w:tcPr>
          <w:p>
            <w:pPr>
              <w:jc w:val="right"/>
              <w:ind w:right="281"/>
              <w:spacing w:after="0"/>
              <w:rPr>
                <w:sz w:val="20"/>
                <w:szCs w:val="20"/>
                <w:color w:val="auto"/>
              </w:rPr>
            </w:pPr>
            <w:r>
              <w:rPr>
                <w:rFonts w:ascii="Arial" w:cs="Arial" w:eastAsia="Arial" w:hAnsi="Arial"/>
                <w:sz w:val="18"/>
                <w:szCs w:val="18"/>
                <w:b w:val="1"/>
                <w:bCs w:val="1"/>
                <w:color w:val="auto"/>
              </w:rPr>
              <w:t>15108</w:t>
            </w:r>
          </w:p>
        </w:tc>
      </w:tr>
      <w:tr>
        <w:trPr>
          <w:trHeight w:val="186"/>
        </w:trPr>
        <w:tc>
          <w:tcPr>
            <w:tcW w:w="5420" w:type="dxa"/>
            <w:vAlign w:val="bottom"/>
          </w:tcPr>
          <w:p>
            <w:pPr>
              <w:jc w:val="center"/>
              <w:ind w:right="1419"/>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2700" w:type="dxa"/>
            <w:vAlign w:val="bottom"/>
          </w:tcPr>
          <w:p>
            <w:pPr>
              <w:jc w:val="center"/>
              <w:ind w:left="1421"/>
              <w:spacing w:after="0"/>
              <w:rPr>
                <w:sz w:val="20"/>
                <w:szCs w:val="20"/>
                <w:color w:val="auto"/>
              </w:rPr>
            </w:pPr>
            <w:r>
              <w:rPr>
                <w:rFonts w:ascii="Arial" w:cs="Arial" w:eastAsia="Arial" w:hAnsi="Arial"/>
                <w:sz w:val="14"/>
                <w:szCs w:val="14"/>
                <w:b w:val="1"/>
                <w:bCs w:val="1"/>
                <w:color w:val="auto"/>
                <w:w w:val="98"/>
              </w:rPr>
              <w:t>(Zip Code)</w:t>
            </w:r>
          </w:p>
        </w:tc>
      </w:tr>
    </w:tbl>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4080" w:type="dxa"/>
            <w:vAlign w:val="bottom"/>
            <w:gridSpan w:val="3"/>
          </w:tcPr>
          <w:p>
            <w:pPr>
              <w:jc w:val="center"/>
              <w:ind w:left="2468"/>
              <w:spacing w:after="0"/>
              <w:rPr>
                <w:sz w:val="20"/>
                <w:szCs w:val="20"/>
                <w:color w:val="auto"/>
              </w:rPr>
            </w:pPr>
            <w:r>
              <w:rPr>
                <w:rFonts w:ascii="Arial" w:cs="Arial" w:eastAsia="Arial" w:hAnsi="Arial"/>
                <w:sz w:val="14"/>
                <w:szCs w:val="14"/>
                <w:b w:val="1"/>
                <w:bCs w:val="1"/>
                <w:color w:val="auto"/>
                <w:w w:val="96"/>
              </w:rPr>
              <w:t>Name of each exchange</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Symbol(s)</w:t>
            </w:r>
          </w:p>
        </w:tc>
        <w:tc>
          <w:tcPr>
            <w:tcW w:w="266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on which registered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.01 per share</w:t>
            </w: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MHH</w:t>
            </w:r>
          </w:p>
        </w:tc>
        <w:tc>
          <w:tcPr>
            <w:tcW w:w="2660" w:type="dxa"/>
            <w:vAlign w:val="bottom"/>
          </w:tcPr>
          <w:p>
            <w:pPr>
              <w:spacing w:after="0" w:line="20" w:lineRule="exact"/>
              <w:rPr>
                <w:sz w:val="1"/>
                <w:szCs w:val="1"/>
                <w:color w:val="auto"/>
              </w:rPr>
            </w:pPr>
          </w:p>
        </w:tc>
        <w:tc>
          <w:tcPr>
            <w:tcW w:w="1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NYSE American</w:t>
            </w: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w w:val="88"/>
              </w:rPr>
              <w:t>Common Stock, par value $</w:t>
            </w:r>
          </w:p>
        </w:tc>
        <w:tc>
          <w:tcPr>
            <w:tcW w:w="28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0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jc w:val="both"/>
        <w:ind w:left="120" w:right="60" w:firstLine="44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jc w:val="both"/>
        <w:ind w:left="120" w:right="40" w:firstLine="4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1080" w:firstLine="44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par value $.01 per share, outstanding as of April 30, 2023 was 11,651,262.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 ENDED MARCH 31, 2023</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8"/>
                <w:szCs w:val="18"/>
                <w:color w:val="auto"/>
              </w:rPr>
              <w:t>PART 1</w:t>
            </w:r>
          </w:p>
        </w:tc>
        <w:tc>
          <w:tcPr>
            <w:tcW w:w="9760" w:type="dxa"/>
            <w:vAlign w:val="bottom"/>
            <w:gridSpan w:val="21"/>
            <w:vMerge w:val="restart"/>
          </w:tcPr>
          <w:p>
            <w:pPr>
              <w:spacing w:after="0"/>
              <w:rPr>
                <w:sz w:val="20"/>
                <w:szCs w:val="20"/>
                <w:color w:val="auto"/>
              </w:rPr>
            </w:pPr>
            <w:r>
              <w:rPr>
                <w:rFonts w:ascii="Arial" w:cs="Arial" w:eastAsia="Arial" w:hAnsi="Arial"/>
                <w:sz w:val="18"/>
                <w:szCs w:val="18"/>
                <w:color w:val="0000EE"/>
              </w:rPr>
              <w:t>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9760" w:type="dxa"/>
            <w:vAlign w:val="bottom"/>
            <w:gridSpan w:val="21"/>
            <w:vMerge w:val="continue"/>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5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0"/>
              </w:rPr>
              <w:t>Financial Statements:</w:t>
            </w:r>
          </w:p>
        </w:tc>
        <w:tc>
          <w:tcPr>
            <w:tcW w:w="560" w:type="dxa"/>
            <w:vAlign w:val="bottom"/>
            <w:tcBorders>
              <w:top w:val="single" w:sz="8" w:color="0000EE"/>
            </w:tcBorders>
            <w:gridSpan w:val="3"/>
          </w:tcPr>
          <w:p>
            <w:pPr>
              <w:spacing w:after="0"/>
              <w:rPr>
                <w:sz w:val="24"/>
                <w:szCs w:val="24"/>
                <w:color w:val="auto"/>
              </w:rPr>
            </w:pPr>
          </w:p>
        </w:tc>
        <w:tc>
          <w:tcPr>
            <w:tcW w:w="762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8"/>
                <w:szCs w:val="18"/>
                <w:color w:val="auto"/>
                <w:w w:val="99"/>
              </w:rPr>
              <w:t xml:space="preserve">(a)  </w:t>
            </w:r>
            <w:r>
              <w:rPr>
                <w:rFonts w:ascii="Arial" w:cs="Arial" w:eastAsia="Arial" w:hAnsi="Arial"/>
                <w:sz w:val="18"/>
                <w:szCs w:val="18"/>
                <w:color w:val="0000EE"/>
                <w:w w:val="99"/>
              </w:rPr>
              <w:t>Condensed Consolidated Statements of Operations (Unaudited) for the Three Months Ended March 31, 2023 and 2022</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8"/>
                <w:szCs w:val="18"/>
                <w:color w:val="auto"/>
                <w:w w:val="93"/>
              </w:rPr>
              <w:t xml:space="preserve">(b)  </w:t>
            </w:r>
            <w:r>
              <w:rPr>
                <w:rFonts w:ascii="Arial" w:cs="Arial" w:eastAsia="Arial" w:hAnsi="Arial"/>
                <w:sz w:val="18"/>
                <w:szCs w:val="18"/>
                <w:color w:val="0000EE"/>
                <w:w w:val="93"/>
              </w:rPr>
              <w:t>Condensed Consolidated Statements of Comprehensive Income (Unaudited) for the Three Months Ended March 31, 2023 and</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2022</w:t>
            </w: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color w:val="0000EE"/>
              </w:rPr>
              <w:t>Condensed Consolidated Balance Sheets (Unaudited) as of March 31, 2023 and December 31, 2022</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color w:val="0000EE"/>
              </w:rPr>
              <w:t>Condensed Consolidated Statements of Shareholders’ Equity (Unaudited) as of March 31, 2023 and March 31, 2022</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8"/>
                <w:szCs w:val="18"/>
                <w:color w:val="auto"/>
                <w:w w:val="98"/>
              </w:rPr>
              <w:t xml:space="preserve">(e)  </w:t>
            </w:r>
            <w:r>
              <w:rPr>
                <w:rFonts w:ascii="Arial" w:cs="Arial" w:eastAsia="Arial" w:hAnsi="Arial"/>
                <w:sz w:val="18"/>
                <w:szCs w:val="18"/>
                <w:color w:val="0000EE"/>
                <w:w w:val="98"/>
              </w:rPr>
              <w:t>Condensed Consolidated Statements of Cash Flows (Unaudited) for the Three Months Ended March 31, 2023 and 2022</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color w:val="0000EE"/>
              </w:rPr>
              <w:t>Notes to Condensed Consolidated Financial Statements (Unaudited)</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21"/>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40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100" w:type="dxa"/>
            <w:vAlign w:val="bottom"/>
            <w:tcBorders>
              <w:top w:val="single" w:sz="8" w:color="0000EE"/>
            </w:tcBorders>
            <w:gridSpan w:val="2"/>
          </w:tcPr>
          <w:p>
            <w:pPr>
              <w:spacing w:after="0"/>
              <w:rPr>
                <w:sz w:val="24"/>
                <w:szCs w:val="24"/>
                <w:color w:val="auto"/>
              </w:rPr>
            </w:pPr>
          </w:p>
        </w:tc>
        <w:tc>
          <w:tcPr>
            <w:tcW w:w="326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Controls and Procedures</w:t>
            </w:r>
          </w:p>
        </w:tc>
        <w:tc>
          <w:tcPr>
            <w:tcW w:w="798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976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8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Legal Proceedings</w:t>
            </w:r>
          </w:p>
        </w:tc>
        <w:tc>
          <w:tcPr>
            <w:tcW w:w="796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Risk Factors</w:t>
            </w:r>
          </w:p>
        </w:tc>
        <w:tc>
          <w:tcPr>
            <w:tcW w:w="8420" w:type="dxa"/>
            <w:vAlign w:val="bottom"/>
            <w:gridSpan w:val="1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5"/>
              </w:rPr>
              <w:t>Exhibits</w:t>
            </w:r>
          </w:p>
        </w:tc>
        <w:tc>
          <w:tcPr>
            <w:tcW w:w="3700" w:type="dxa"/>
            <w:vAlign w:val="bottom"/>
            <w:tcBorders>
              <w:top w:val="single" w:sz="8" w:color="0000EE"/>
            </w:tcBorders>
            <w:gridSpan w:val="9"/>
          </w:tcPr>
          <w:p>
            <w:pPr>
              <w:spacing w:after="0"/>
              <w:rPr>
                <w:sz w:val="24"/>
                <w:szCs w:val="24"/>
                <w:color w:val="auto"/>
              </w:rPr>
            </w:pPr>
          </w:p>
        </w:tc>
        <w:tc>
          <w:tcPr>
            <w:tcW w:w="5440" w:type="dxa"/>
            <w:vAlign w:val="bottom"/>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Arial" w:cs="Arial" w:eastAsia="Arial" w:hAnsi="Arial"/>
                <w:sz w:val="18"/>
                <w:szCs w:val="18"/>
                <w:color w:val="0000EE"/>
              </w:rPr>
              <w:t>SIGNATURES</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750"/>
        </w:trPr>
        <w:tc>
          <w:tcPr>
            <w:tcW w:w="880" w:type="dxa"/>
            <w:vAlign w:val="bottom"/>
          </w:tcPr>
          <w:p>
            <w:pPr>
              <w:spacing w:after="0"/>
              <w:rPr>
                <w:sz w:val="24"/>
                <w:szCs w:val="24"/>
                <w:color w:val="auto"/>
              </w:rPr>
            </w:pPr>
          </w:p>
        </w:tc>
        <w:tc>
          <w:tcPr>
            <w:tcW w:w="1040" w:type="dxa"/>
            <w:vAlign w:val="bottom"/>
            <w:tcBorders>
              <w:top w:val="single" w:sz="8" w:color="0000EE"/>
            </w:tcBorders>
            <w:gridSpan w:val="6"/>
          </w:tcPr>
          <w:p>
            <w:pPr>
              <w:spacing w:after="0"/>
              <w:rPr>
                <w:sz w:val="24"/>
                <w:szCs w:val="24"/>
                <w:color w:val="auto"/>
              </w:rPr>
            </w:pPr>
          </w:p>
        </w:tc>
        <w:tc>
          <w:tcPr>
            <w:tcW w:w="4280" w:type="dxa"/>
            <w:vAlign w:val="bottom"/>
            <w:gridSpan w:val="8"/>
          </w:tcPr>
          <w:p>
            <w:pPr>
              <w:jc w:val="right"/>
              <w:ind w:right="66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702"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MASTECH DIGITAL,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56"/>
        </w:trPr>
        <w:tc>
          <w:tcPr>
            <w:tcW w:w="95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41,581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43,823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12,950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11,638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12,054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702"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2023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Total other comprehensive gain (loss), net of taxes</w:t>
            </w:r>
          </w:p>
        </w:tc>
        <w:tc>
          <w:tcPr>
            <w:tcW w:w="2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70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9,097</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uncollectible accounts of $444 in 2023 and $444 in 2022</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33,603</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53,174</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Equipment, enterprise software, and leasehold improvements, at cost: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Enterprise software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7,707</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 accumulated depreciation and amortization</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(5,042)</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Net equipment, enterprise software, and leasehold improvements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Non-current deposits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Goodwill, net of impairment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32,510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108,834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108,879</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costs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liability</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 less current portion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Long-term accrued income taxes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22,876</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no par value; 20,000,000 shares authorized; none outstanding</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9020" w:type="dxa"/>
            <w:vAlign w:val="bottom"/>
          </w:tcPr>
          <w:p>
            <w:pPr>
              <w:ind w:left="360"/>
              <w:spacing w:after="0" w:line="201" w:lineRule="exact"/>
              <w:rPr>
                <w:sz w:val="20"/>
                <w:szCs w:val="20"/>
                <w:color w:val="auto"/>
              </w:rPr>
            </w:pPr>
            <w:r>
              <w:rPr>
                <w:rFonts w:ascii="Arial" w:cs="Arial" w:eastAsia="Arial" w:hAnsi="Arial"/>
                <w:sz w:val="18"/>
                <w:szCs w:val="18"/>
                <w:color w:val="auto"/>
                <w:w w:val="93"/>
              </w:rPr>
              <w:t>Common Stock, par value $.01; 250,000,000 shares authorized and 13,297,682 shares issued as of March 31, 2023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020" w:type="dxa"/>
            <w:vAlign w:val="bottom"/>
          </w:tcPr>
          <w:p>
            <w:pPr>
              <w:ind w:left="540"/>
              <w:spacing w:after="0"/>
              <w:rPr>
                <w:sz w:val="20"/>
                <w:szCs w:val="20"/>
                <w:color w:val="auto"/>
              </w:rPr>
            </w:pPr>
            <w:r>
              <w:rPr>
                <w:rFonts w:ascii="Arial" w:cs="Arial" w:eastAsia="Arial" w:hAnsi="Arial"/>
                <w:sz w:val="18"/>
                <w:szCs w:val="18"/>
                <w:color w:val="auto"/>
              </w:rPr>
              <w:t>and 13,269,118 shares issued as of December 31, 2022</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59,814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59,553</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(1,555)</w:t>
            </w: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Treasury stock, at cost; 1,646,420 shares as of March 31, 2023 and as of December 31, 2022</w:t>
            </w:r>
          </w:p>
        </w:tc>
        <w:tc>
          <w:tcPr>
            <w:tcW w:w="10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(4,187)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(4,187)</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86,003</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108,834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108,879</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702"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4"/>
                <w:szCs w:val="14"/>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4"/>
            <w:vMerge w:val="restart"/>
          </w:tcPr>
          <w:p>
            <w:pPr>
              <w:jc w:val="right"/>
              <w:ind w:right="81"/>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Income (Loss)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133</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$ 32,059</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59,553</w:t>
            </w:r>
          </w:p>
        </w:tc>
        <w:tc>
          <w:tcPr>
            <w:tcW w:w="96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color w:val="auto"/>
              </w:rPr>
              <w:t>$(4,187)</w:t>
            </w: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(1,555)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net of taxes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Balances, March 31, 2023</w:t>
            </w: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86"/>
              </w:rPr>
              <w:t>133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$ 32,894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59,814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24"/>
                <w:szCs w:val="24"/>
                <w:color w:val="auto"/>
              </w:rPr>
            </w:pPr>
          </w:p>
        </w:tc>
        <w:tc>
          <w:tcPr>
            <w:tcW w:w="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4"/>
            <w:vMerge w:val="restart"/>
          </w:tcPr>
          <w:p>
            <w:pPr>
              <w:jc w:val="right"/>
              <w:ind w:right="121"/>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36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Stock</w:t>
            </w:r>
          </w:p>
        </w:tc>
        <w:tc>
          <w:tcPr>
            <w:tcW w:w="2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Income (Loss)</w:t>
            </w:r>
          </w:p>
        </w:tc>
        <w:tc>
          <w:tcPr>
            <w:tcW w:w="28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Equity</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$ 28,250</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50,841</w:t>
            </w:r>
          </w:p>
        </w:tc>
        <w:tc>
          <w:tcPr>
            <w:tcW w:w="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61"/>
              <w:spacing w:after="0"/>
              <w:rPr>
                <w:sz w:val="20"/>
                <w:szCs w:val="20"/>
                <w:color w:val="auto"/>
              </w:rPr>
            </w:pPr>
            <w:r>
              <w:rPr>
                <w:rFonts w:ascii="Arial" w:cs="Arial" w:eastAsia="Arial" w:hAnsi="Arial"/>
                <w:sz w:val="18"/>
                <w:szCs w:val="18"/>
                <w:color w:val="auto"/>
              </w:rPr>
              <w:t>$(4,187)</w:t>
            </w:r>
          </w:p>
        </w:tc>
        <w:tc>
          <w:tcPr>
            <w:tcW w:w="3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(607)</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left="73"/>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left="73"/>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Balances, March 31, 2022</w:t>
            </w: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$ 29,667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53,173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200" w:type="dxa"/>
            <w:vAlign w:val="bottom"/>
            <w:gridSpan w:val="2"/>
          </w:tcPr>
          <w:p>
            <w:pPr>
              <w:jc w:val="right"/>
              <w:ind w:right="6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center"/>
              <w:ind w:left="353"/>
              <w:spacing w:after="0"/>
              <w:rPr>
                <w:sz w:val="20"/>
                <w:szCs w:val="20"/>
                <w:color w:val="auto"/>
              </w:rPr>
            </w:pPr>
            <w:r>
              <w:rPr>
                <w:rFonts w:ascii="Arial" w:cs="Arial" w:eastAsia="Arial" w:hAnsi="Arial"/>
                <w:sz w:val="18"/>
                <w:szCs w:val="18"/>
                <w:color w:val="auto"/>
                <w:w w:val="80"/>
              </w:rPr>
              <w:t>(754)</w:t>
            </w:r>
          </w:p>
        </w:tc>
        <w:tc>
          <w:tcPr>
            <w:tcW w:w="280" w:type="dxa"/>
            <w:vAlign w:val="bottom"/>
            <w:gridSpan w:val="2"/>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702"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8"/>
                <w:szCs w:val="18"/>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cash provided by (used in) 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amortization of deferred financing 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Operating lease assets and liabilities, net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disposition of fixed 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Working capital items: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and unbilled receivables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(3,445)</w:t>
            </w: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Accrued payroll and related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r>
      <w:tr>
        <w:trPr>
          <w:trHeight w:val="223"/>
        </w:trPr>
        <w:tc>
          <w:tcPr>
            <w:tcW w:w="95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9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8"/>
                <w:szCs w:val="18"/>
                <w:color w:val="auto"/>
              </w:rPr>
            </w:pP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Recovery of (payment for) non-current deposits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23"/>
        </w:trPr>
        <w:tc>
          <w:tcPr>
            <w:tcW w:w="950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r>
      <w:tr>
        <w:trPr>
          <w:trHeight w:val="216"/>
        </w:trPr>
        <w:tc>
          <w:tcPr>
            <w:tcW w:w="9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term loan facility</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(1,100)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(1,100)</w:t>
            </w:r>
          </w:p>
        </w:tc>
      </w:tr>
      <w:tr>
        <w:trPr>
          <w:trHeight w:val="223"/>
        </w:trPr>
        <w:tc>
          <w:tcPr>
            <w:tcW w:w="95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r>
      <w:tr>
        <w:trPr>
          <w:trHeight w:val="216"/>
        </w:trPr>
        <w:tc>
          <w:tcPr>
            <w:tcW w:w="9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flows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(1,100)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r>
      <w:tr>
        <w:trPr>
          <w:trHeight w:val="230"/>
        </w:trPr>
        <w:tc>
          <w:tcPr>
            <w:tcW w:w="95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19"/>
                <w:szCs w:val="19"/>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shd w:val="clear" w:color="auto" w:fill="CCEEFF"/>
          </w:tcPr>
          <w:p>
            <w:pPr>
              <w:spacing w:after="0"/>
              <w:rPr>
                <w:sz w:val="18"/>
                <w:szCs w:val="18"/>
                <w:color w:val="auto"/>
              </w:rPr>
            </w:pPr>
          </w:p>
        </w:tc>
      </w:tr>
      <w:tr>
        <w:trPr>
          <w:trHeight w:val="20"/>
        </w:trPr>
        <w:tc>
          <w:tcPr>
            <w:tcW w:w="9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702"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MASTECH DIGITAL,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2023 AND 2022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60" w:right="6800" w:hanging="444"/>
        <w:spacing w:after="0" w:line="377" w:lineRule="auto"/>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Basis of Presentation</w:t>
      </w:r>
    </w:p>
    <w:p>
      <w:pPr>
        <w:spacing w:after="0" w:line="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References in this Quarterly Report on Form 10-Q to “we”, “our”, “Mastech Digital”, “Mastech” or “the Company” refer collectively to Mastech Digital, Inc. and its wholly-owned operating subsidiaries, which are included in these Condensed Consolidated Financial Statements (the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With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IT staffing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COVID-19 pandemic had a material impact on activity levels in both of our business segments in 2020. This impact was reduced in 2021 as a result of the global roll-out of vaccination programs and signs of improving economic conditions. COVID-19 related concerns were less impactful on our business in 2022. Still, the proliferation of COVID-19 variants have caused some uncertainty and could continue to disrupt global markets in 2023 and beyond.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2022, included in our Annual Report on Form 10-K filed with the SEC on March 27, 2023. Additionally, our operating results for the three months ended March 31, 2023, are not necessarily indicative of the results that can be expected for the year ending December 31, 2023 or for any other period.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Financial Statements include the accounts of the Company and its wholly-owned subsidiaries. All material intercompany transactions and balances have been eliminated in consolidation.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2022, for a more detailed discussion of our significant accounting policies and critical accounting estimates. There were no material changes to these critical accounting policies during the three months ended March 31, 2023.</w:t>
      </w:r>
    </w:p>
    <w:p>
      <w:pPr>
        <w:sectPr>
          <w:pgSz w:w="11900" w:h="16838" w:orient="portrait"/>
          <w:cols w:equalWidth="0" w:num="1">
            <w:col w:w="11120"/>
          </w:cols>
          <w:pgMar w:left="320" w:top="702" w:right="459" w:bottom="1440" w:gutter="0" w:footer="0" w:header="0"/>
        </w:sectPr>
      </w:pP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702" w:right="4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15" w:lineRule="exact"/>
        <w:rPr>
          <w:sz w:val="20"/>
          <w:szCs w:val="20"/>
          <w:color w:val="auto"/>
        </w:rPr>
      </w:pPr>
    </w:p>
    <w:p>
      <w:pPr>
        <w:ind w:left="560" w:hanging="444"/>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8"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7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Company’s time-and-material and fixed price revenue streams are recognized over time as the customer receives and consumes the benefits of the Company’s performance as the work is performed.</w:t>
      </w:r>
    </w:p>
    <w:p>
      <w:pPr>
        <w:spacing w:after="0" w:line="170"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Data and Analytics Services segment provides specialized capabilities in delivering data management and analytics services to its customers. This business offers project-based consulting services in the areas of Master Data Management, Enterprise Data Integration, Data Engineering and Analytics, which can be delivered using onsite and offshore resources.</w:t>
      </w:r>
    </w:p>
    <w:p>
      <w:pPr>
        <w:spacing w:after="0" w:line="184"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depicts the disaggregation of our revenues by contract type and operating segment: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76"/>
              </w:rPr>
              <w:t>(Amounts</w:t>
            </w:r>
          </w:p>
        </w:tc>
        <w:tc>
          <w:tcPr>
            <w:tcW w:w="3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5"/>
              <w:spacing w:after="0" w:line="155" w:lineRule="exact"/>
              <w:rPr>
                <w:sz w:val="20"/>
                <w:szCs w:val="20"/>
                <w:color w:val="auto"/>
              </w:rPr>
            </w:pPr>
            <w:r>
              <w:rPr>
                <w:rFonts w:ascii="Arial" w:cs="Arial" w:eastAsia="Arial" w:hAnsi="Arial"/>
                <w:sz w:val="14"/>
                <w:szCs w:val="14"/>
                <w:b w:val="1"/>
                <w:bCs w:val="1"/>
                <w:color w:val="auto"/>
                <w:w w:val="82"/>
              </w:rPr>
              <w:t>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Data and Analytics Services Segment</w:t>
            </w:r>
          </w:p>
        </w:tc>
        <w:tc>
          <w:tcPr>
            <w:tcW w:w="2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Time-and-material Contracts</w:t>
            </w:r>
          </w:p>
        </w:tc>
        <w:tc>
          <w:tcPr>
            <w:tcW w:w="84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6,701</w:t>
            </w:r>
          </w:p>
        </w:tc>
        <w:tc>
          <w:tcPr>
            <w:tcW w:w="400" w:type="dxa"/>
            <w:vAlign w:val="bottom"/>
            <w:tcBorders>
              <w:top w:val="single" w:sz="8" w:color="CCEEFF"/>
            </w:tcBorders>
            <w:gridSpan w:val="2"/>
          </w:tcPr>
          <w:p>
            <w:pPr>
              <w:jc w:val="right"/>
              <w:ind w:right="47"/>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6,181</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29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4"/>
              </w:rPr>
              <w:t>9,395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10,152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vMerge w:val="restart"/>
          </w:tcPr>
          <w:p>
            <w:pPr>
              <w:jc w:val="right"/>
              <w:ind w:right="227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702"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8"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85"/>
              </w:rPr>
              <w:t>(Amounts</w:t>
            </w:r>
          </w:p>
        </w:tc>
        <w:tc>
          <w:tcPr>
            <w:tcW w:w="36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thousands)</w:t>
            </w:r>
          </w:p>
        </w:tc>
        <w:tc>
          <w:tcPr>
            <w:tcW w:w="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 Staffing Services Segment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Time-and-material Contracts</w:t>
            </w:r>
          </w:p>
        </w:tc>
        <w:tc>
          <w:tcPr>
            <w:tcW w:w="4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w w:val="87"/>
              </w:rPr>
              <w:t>45,668</w:t>
            </w:r>
          </w:p>
        </w:tc>
        <w:tc>
          <w:tcPr>
            <w:tcW w:w="50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49,399</w:t>
            </w:r>
          </w:p>
        </w:tc>
        <w:tc>
          <w:tcPr>
            <w:tcW w:w="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87"/>
              </w:rPr>
              <w:t>45,668</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49,603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55,063</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59,755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For the three months ended March 31, 2023, the Company had one client (CGI =25.5%) that exceeded 10% of total revenues. For the three months ended March 31, 2022, the Company had one client (CGI =17.8%) that exceeded 10% of total revenues.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Company’s top ten clients represented approximately 56% and 51% of total revenues for the three months ended March 31, 2023 and 2022, respectively. The following table presents our revenue from external customers disaggregated by geography, based on the work location of our customers:</w:t>
      </w:r>
    </w:p>
    <w:p>
      <w:pPr>
        <w:spacing w:after="0" w:line="202"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r>
      <w:tr>
        <w:trPr>
          <w:trHeight w:val="156"/>
        </w:trPr>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36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thousands)</w:t>
            </w:r>
          </w:p>
        </w:tc>
        <w:tc>
          <w:tcPr>
            <w:tcW w:w="40" w:type="dxa"/>
            <w:vAlign w:val="bottom"/>
          </w:tcPr>
          <w:p>
            <w:pPr>
              <w:spacing w:after="0"/>
              <w:rPr>
                <w:sz w:val="13"/>
                <w:szCs w:val="13"/>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58,347</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0" w:type="dxa"/>
            <w:vAlign w:val="bottom"/>
            <w:shd w:val="clear" w:color="auto" w:fill="CCEEFF"/>
          </w:tcPr>
          <w:p>
            <w:pPr>
              <w:spacing w:after="0"/>
              <w:rPr>
                <w:sz w:val="18"/>
                <w:szCs w:val="18"/>
                <w:color w:val="auto"/>
              </w:rPr>
            </w:pP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55,063</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59,755</w:t>
            </w:r>
          </w:p>
        </w:tc>
        <w:tc>
          <w:tcPr>
            <w:tcW w:w="4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60" w:hanging="444"/>
        <w:spacing w:after="0"/>
        <w:tabs>
          <w:tab w:leader="none" w:pos="5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Goodwill related to our June 15, 2015 acquisition of Hudson Global Resources Management’s U.S. IT staffing business (“Hudson IT”) totaled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$8.4 million. Goodwill related to our July 13, 2017 acquisition of the services division of InfoTrellis totaled $27.4 million. During 2018, the Company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recorded a goodwill impairment related to the InfoTrellis acquisition of $9.7 million. Goodwill related to our October 1, 2020 acquisition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AmberLeaf totaled $6.4 million.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is amortizing the identifiable intangible assets on a straight-line basis over estimated average lives ranging from 3 to 12 years.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Identifiable intangible assets were comprised of the following as of March 31, 2023, and December 31, 2022:</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As of March 31, 2023</w:t>
            </w: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1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Amortization</w:t>
            </w:r>
          </w:p>
        </w:tc>
        <w:tc>
          <w:tcPr>
            <w:tcW w:w="1580" w:type="dxa"/>
            <w:vAlign w:val="bottom"/>
            <w:gridSpan w:val="3"/>
          </w:tcPr>
          <w:p>
            <w:pPr>
              <w:ind w:left="540"/>
              <w:spacing w:after="0" w:line="119" w:lineRule="exact"/>
              <w:rPr>
                <w:sz w:val="20"/>
                <w:szCs w:val="20"/>
                <w:color w:val="auto"/>
              </w:rPr>
            </w:pPr>
            <w:r>
              <w:rPr>
                <w:rFonts w:ascii="Arial" w:cs="Arial" w:eastAsia="Arial" w:hAnsi="Arial"/>
                <w:sz w:val="13"/>
                <w:szCs w:val="13"/>
                <w:b w:val="1"/>
                <w:bCs w:val="1"/>
                <w:color w:val="auto"/>
              </w:rPr>
              <w:t>Gross Carrying</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Accumulative</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gridSpan w:val="2"/>
            <w:vMerge w:val="continue"/>
          </w:tcPr>
          <w:p>
            <w:pPr>
              <w:spacing w:after="0"/>
              <w:rPr>
                <w:sz w:val="12"/>
                <w:szCs w:val="12"/>
                <w:color w:val="auto"/>
              </w:rPr>
            </w:pPr>
          </w:p>
        </w:tc>
        <w:tc>
          <w:tcPr>
            <w:tcW w:w="2240" w:type="dxa"/>
            <w:vAlign w:val="bottom"/>
            <w:gridSpan w:val="2"/>
          </w:tcPr>
          <w:p>
            <w:pPr>
              <w:jc w:val="center"/>
              <w:ind w:left="992"/>
              <w:spacing w:after="0" w:line="125" w:lineRule="exact"/>
              <w:rPr>
                <w:sz w:val="20"/>
                <w:szCs w:val="20"/>
                <w:color w:val="auto"/>
              </w:rPr>
            </w:pPr>
            <w:r>
              <w:rPr>
                <w:rFonts w:ascii="Arial" w:cs="Arial" w:eastAsia="Arial" w:hAnsi="Arial"/>
                <w:sz w:val="14"/>
                <w:szCs w:val="14"/>
                <w:b w:val="1"/>
                <w:bCs w:val="1"/>
                <w:color w:val="auto"/>
              </w:rPr>
              <w:t>Period (In Years)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54"/>
              <w:spacing w:after="0" w:line="125" w:lineRule="exact"/>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2"/>
                <w:szCs w:val="12"/>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Amortization</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80"/>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54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IT Staffing Services:</w:t>
            </w: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7,999</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5,194</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8,548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11,093</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40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3"/>
        </w:trPr>
        <w:tc>
          <w:tcPr>
            <w:tcW w:w="34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Intangible Assets</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5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18,019</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40" w:type="dxa"/>
            <w:vAlign w:val="bottom"/>
            <w:gridSpan w:val="2"/>
            <w:vMerge w:val="restart"/>
          </w:tcPr>
          <w:p>
            <w:pPr>
              <w:jc w:val="center"/>
              <w:ind w:left="992"/>
              <w:spacing w:after="0"/>
              <w:rPr>
                <w:sz w:val="20"/>
                <w:szCs w:val="20"/>
                <w:color w:val="auto"/>
              </w:rPr>
            </w:pPr>
            <w:r>
              <w:rPr>
                <w:rFonts w:ascii="Arial" w:cs="Arial" w:eastAsia="Arial" w:hAnsi="Arial"/>
                <w:sz w:val="18"/>
                <w:szCs w:val="18"/>
                <w:color w:val="auto"/>
                <w:w w:val="99"/>
              </w:rPr>
              <w:t>10</w:t>
            </w: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702"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As of December 31, 2022</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60" w:type="dxa"/>
            <w:vAlign w:val="bottom"/>
          </w:tcPr>
          <w:p>
            <w:pPr>
              <w:spacing w:after="0"/>
              <w:rPr>
                <w:sz w:val="10"/>
                <w:szCs w:val="10"/>
                <w:color w:val="auto"/>
              </w:rPr>
            </w:pPr>
          </w:p>
        </w:tc>
        <w:tc>
          <w:tcPr>
            <w:tcW w:w="166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Amortization</w:t>
            </w: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Accumulative</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60" w:type="dxa"/>
            <w:vAlign w:val="bottom"/>
            <w:gridSpan w:val="2"/>
            <w:vMerge w:val="continue"/>
          </w:tcPr>
          <w:p>
            <w:pPr>
              <w:spacing w:after="0"/>
              <w:rPr>
                <w:sz w:val="12"/>
                <w:szCs w:val="12"/>
                <w:color w:val="auto"/>
              </w:rPr>
            </w:pPr>
          </w:p>
        </w:tc>
        <w:tc>
          <w:tcPr>
            <w:tcW w:w="2720" w:type="dxa"/>
            <w:vAlign w:val="bottom"/>
            <w:gridSpan w:val="3"/>
          </w:tcPr>
          <w:p>
            <w:pPr>
              <w:jc w:val="center"/>
              <w:ind w:left="392"/>
              <w:spacing w:after="0" w:line="125" w:lineRule="exact"/>
              <w:rPr>
                <w:sz w:val="20"/>
                <w:szCs w:val="20"/>
                <w:color w:val="auto"/>
              </w:rPr>
            </w:pPr>
            <w:r>
              <w:rPr>
                <w:rFonts w:ascii="Arial" w:cs="Arial" w:eastAsia="Arial" w:hAnsi="Arial"/>
                <w:sz w:val="14"/>
                <w:szCs w:val="14"/>
                <w:b w:val="1"/>
                <w:bCs w:val="1"/>
                <w:color w:val="auto"/>
              </w:rPr>
              <w:t>Period (In Years)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54"/>
              <w:spacing w:after="0" w:line="125" w:lineRule="exact"/>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2"/>
                <w:szCs w:val="12"/>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Amortization</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80"/>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54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IT Staffing Services:</w:t>
            </w:r>
          </w:p>
        </w:tc>
        <w:tc>
          <w:tcPr>
            <w:tcW w:w="1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7,999</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5,027</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19,641</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8,140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11,501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1,711</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34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Intangible Assets</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17,326</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Amortization expense for the three months ended March 31, 2023 and 2022 totaled $693,000 and $792,000, respectively, and is included in selling, general and administrative expenses in the Condensed Consolidated Statement of Operations.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estimated aggregate amortization expense for intangible assets for the years ending December 31, 2023 through 2027 is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6"/>
              </w:rPr>
              <w:t>Years Ended December 31,</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2027</w:t>
            </w:r>
          </w:p>
        </w:tc>
        <w:tc>
          <w:tcPr>
            <w:tcW w:w="40" w:type="dxa"/>
            <w:vAlign w:val="bottom"/>
          </w:tcPr>
          <w:p>
            <w:pPr>
              <w:spacing w:after="0"/>
              <w:rPr>
                <w:sz w:val="12"/>
                <w:szCs w:val="12"/>
                <w:color w:val="auto"/>
              </w:rPr>
            </w:pPr>
          </w:p>
        </w:tc>
      </w:tr>
      <w:tr>
        <w:trPr>
          <w:trHeight w:val="155"/>
        </w:trPr>
        <w:tc>
          <w:tcPr>
            <w:tcW w:w="45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7"/>
          </w:tcPr>
          <w:p>
            <w:pPr>
              <w:jc w:val="center"/>
              <w:ind w:right="240"/>
              <w:spacing w:after="0" w:line="155" w:lineRule="exact"/>
              <w:rPr>
                <w:sz w:val="20"/>
                <w:szCs w:val="20"/>
                <w:color w:val="auto"/>
              </w:rPr>
            </w:pPr>
            <w:r>
              <w:rPr>
                <w:rFonts w:ascii="Arial" w:cs="Arial" w:eastAsia="Arial" w:hAnsi="Arial"/>
                <w:sz w:val="14"/>
                <w:szCs w:val="14"/>
                <w:b w:val="1"/>
                <w:bCs w:val="1"/>
                <w:color w:val="auto"/>
                <w:w w:val="95"/>
              </w:rPr>
              <w:t>(Amounts in thousands)</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$2,413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$2,025</w:t>
            </w:r>
          </w:p>
        </w:tc>
        <w:tc>
          <w:tcPr>
            <w:tcW w:w="4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ind w:left="560" w:hanging="444"/>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Company rents certain office facilities and equipment under non-cancelable operating leases. As of March 31, 2023, approximately 96,000 square feet of office space is utilized for our sales and recruiting offices, delivery centers, and corporate headquarters. All of our leases are classified as operating leases. The average initial lease term is 4.9 years. Several leases have an option to renew, at our sole discretion, for an additional term. Our present lease terms range from less than one year to 4 years, with a weighted average of 3.1 years. Leases with an initial term of twelve months or less are not recorded on the balance sheet.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balance sheet classification of the lease assets and related lease liabilities: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March 31, 2023</w:t>
            </w:r>
          </w:p>
        </w:tc>
        <w:tc>
          <w:tcPr>
            <w:tcW w:w="7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2022</w:t>
            </w:r>
          </w:p>
        </w:tc>
      </w:tr>
      <w:tr>
        <w:trPr>
          <w:trHeight w:val="20"/>
        </w:trPr>
        <w:tc>
          <w:tcPr>
            <w:tcW w:w="5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5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Long-term operating lease right-of-use assets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3,504</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3,886</w:t>
            </w:r>
          </w:p>
        </w:tc>
        <w:tc>
          <w:tcPr>
            <w:tcW w:w="4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Short-term operating lease liability</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1,470</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1,504</w:t>
            </w:r>
          </w:p>
        </w:tc>
        <w:tc>
          <w:tcPr>
            <w:tcW w:w="40" w:type="dxa"/>
            <w:vAlign w:val="bottom"/>
          </w:tcPr>
          <w:p>
            <w:pPr>
              <w:spacing w:after="0"/>
              <w:rPr>
                <w:sz w:val="18"/>
                <w:szCs w:val="18"/>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40" w:type="dxa"/>
            <w:vAlign w:val="bottom"/>
            <w:shd w:val="clear" w:color="auto" w:fill="CCEEFF"/>
          </w:tcPr>
          <w:p>
            <w:pPr>
              <w:spacing w:after="0"/>
              <w:rPr>
                <w:sz w:val="18"/>
                <w:szCs w:val="18"/>
                <w:color w:val="auto"/>
              </w:rPr>
            </w:pPr>
          </w:p>
        </w:tc>
      </w:tr>
      <w:tr>
        <w:trPr>
          <w:trHeight w:val="223"/>
        </w:trPr>
        <w:tc>
          <w:tcPr>
            <w:tcW w:w="53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74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Future minimum rental payments for office facilities and equipment under the Company’s noncancelable operating leases are as follows:</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 as of</w:t>
            </w: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2023</w:t>
            </w: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gridSpan w:val="2"/>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2023</w:t>
            </w: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remainder of year)</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2025</w:t>
            </w:r>
          </w:p>
        </w:tc>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2026</w:t>
            </w: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2027</w:t>
            </w:r>
          </w:p>
        </w:tc>
        <w:tc>
          <w:tcPr>
            <w:tcW w:w="5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w:t>
            </w:r>
          </w:p>
        </w:tc>
        <w:tc>
          <w:tcPr>
            <w:tcW w:w="59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702" w:right="439" w:bottom="1440" w:gutter="0" w:footer="0" w:header="0"/>
        </w:sectPr>
      </w:pPr>
    </w:p>
    <w:p>
      <w:pPr>
        <w:jc w:val="center"/>
        <w:ind w:right="-9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40"/>
          </w:cols>
          <w:pgMar w:left="320" w:top="702"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discount rate used to calculate the present value of future lease payments was 3.8%.</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recognize rent expense for these leases on a straight-line basis over the lease term. Rental expense for the three months ended March 31, 2023 and 2022 totaled $0.4 million and $0.4 million,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Total cash paid for lease liabilities for the three months ended March 31, 2023 and 2022 totaled $0.4 million and $0.4 million, respectively.</w:t>
      </w:r>
    </w:p>
    <w:p>
      <w:pPr>
        <w:spacing w:after="0" w:line="23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New leases entered into during the three months ended March 31, 2023 and 2022 totaled $0 and $0.5 million, respectively, and are considered non cash transactions.</w:t>
      </w:r>
    </w:p>
    <w:p>
      <w:pPr>
        <w:spacing w:after="0" w:line="315" w:lineRule="exact"/>
        <w:rPr>
          <w:sz w:val="20"/>
          <w:szCs w:val="20"/>
          <w:color w:val="auto"/>
        </w:rPr>
      </w:pPr>
    </w:p>
    <w:p>
      <w:pPr>
        <w:ind w:left="560" w:hanging="444"/>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Payroll Tax Liability</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As allowed under the Coronavirus Aid, Relief and Economic Security (CARES) Act, the Company elected to defer payment of $4.6 million of the employer’s share of social security tax. The Company paid $2.3 million of the deferred amount in December 2022 and $2.3 million in December 2021. Therefore, there is no balance reflected in the Consolidated Balance Sheets as of March 31, 2023 and December 31, 2022.</w:t>
      </w:r>
    </w:p>
    <w:p>
      <w:pPr>
        <w:spacing w:after="0" w:line="310" w:lineRule="exact"/>
        <w:rPr>
          <w:sz w:val="20"/>
          <w:szCs w:val="20"/>
          <w:color w:val="auto"/>
        </w:rPr>
      </w:pPr>
    </w:p>
    <w:p>
      <w:pPr>
        <w:ind w:left="560" w:hanging="444"/>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No lawsuit has been filed to date, and the parties currently plan to proceed to mediation in an attempt to reach a resolution. Due in part to the preliminary nature of this matter, the Company cannot reasonably estimate a possible loss, or range of loss, in connection with this matter. The Company disputes this former employee’s allegations, and management does not believe that the ultimate outcome of this matter is likely to have a material adverse effect on the Company’s financial position or cash flows, although the resolution of this matter in any fiscal period may have a material adverse effect on the Company’s results of operations for that period.</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the ordinary course of our business, the Company is involved in several lawsuits.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28" w:lineRule="exact"/>
        <w:rPr>
          <w:sz w:val="20"/>
          <w:szCs w:val="20"/>
          <w:color w:val="auto"/>
        </w:rPr>
      </w:pPr>
    </w:p>
    <w:p>
      <w:pPr>
        <w:ind w:left="560" w:hanging="444"/>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months ended March 31, 2023 and 2022.</w:t>
      </w:r>
    </w:p>
    <w:p>
      <w:pPr>
        <w:spacing w:after="0" w:line="331" w:lineRule="exact"/>
        <w:rPr>
          <w:sz w:val="20"/>
          <w:szCs w:val="20"/>
          <w:color w:val="auto"/>
        </w:rPr>
      </w:pPr>
    </w:p>
    <w:p>
      <w:pPr>
        <w:ind w:left="560" w:hanging="444"/>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2008, the Company adopted a Stock Incentive Plan (the “Plan”) which, as amended, provides that up to 4,900,000 shares of the Company’s Common Stock shall be allocated for issuance to directors, officers and key personnel. Grants under the Plan can be made in the form of stock options, stock appreciation rights, performance shares or stock awards. During the three months ended March 31, 2023, the Company granted 19,924 restricted share units and 100,000 stock options at a strike price of $11.53 under the Plan. During the three months ended March 31, 2022, the Company granted restricted share units of 11,304 and 400,000 stock options at an average strike price of $18.41. As of March 31, 2023 there were 30,000 shares available for grants under the Plan.</w:t>
      </w:r>
    </w:p>
    <w:p>
      <w:pPr>
        <w:spacing w:after="0" w:line="192"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Stock-based compensation expense for the three months ended March 31, 2023 and 2022 was $835,000 and $526,000, respectively, and is included in selling, general and administrative expenses in the Condensed Consolidated Statements of Operations.</w:t>
      </w:r>
    </w:p>
    <w:p>
      <w:pPr>
        <w:spacing w:after="0" w:line="14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During the three months ended March 31, 2023 and 2022, the Company issued 17,804 and 90,933 shares, respectively, related to the grant of restricted share units and the exercise of stock options.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702"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9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Company’s eligible full-time employees are able to contribute up to 15% of their base compensation into the Employee Stock Purchase Plan, subject to an annual limit of $25,000.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three months ended March 31, 2023 and 2022, there were no shares issued under the Employee Stock Purchase Plan. As of March 31, 2023, there were 492,565 shares available for purchases under the Employee Stock Purchase Plan.</w:t>
      </w:r>
    </w:p>
    <w:p>
      <w:pPr>
        <w:spacing w:after="0" w:line="315" w:lineRule="exact"/>
        <w:rPr>
          <w:sz w:val="20"/>
          <w:szCs w:val="20"/>
          <w:color w:val="auto"/>
        </w:rPr>
      </w:pPr>
    </w:p>
    <w:p>
      <w:pPr>
        <w:ind w:left="560" w:hanging="444"/>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and Exhibit 10.2 to the Form 8-K/A filed with the SEC on January 4, 2022. Additionally, the facility includes an accordion feature for additional borrowing of up to $20 million upon satisfaction of certain conditions.</w:t>
      </w:r>
    </w:p>
    <w:p>
      <w:pPr>
        <w:spacing w:after="0" w:line="17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Revolver expires in December 2026 and includes swing loan and letter of credit sub-limits in the aggregate amount not to exceed</w:t>
      </w:r>
    </w:p>
    <w:p>
      <w:pPr>
        <w:spacing w:after="0" w:line="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 $10.0 million; and (ii) the sum of 85% of eligible Canadian receivables, plus 60% of eligible Canadian unbilled receivables, less a reserve amount established by the administrative agent.</w:t>
      </w:r>
    </w:p>
    <w:p>
      <w:pPr>
        <w:spacing w:after="0" w:line="19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was made on January 3, 2023 taking the outstanding balance to zero.</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Borrowings under the revolver and the term loan, at the Company’s election, bear interest at either (a) the higher of PNC’s prime rate or the federal funds rate plus 0.50%, plus an applicable margin determined based upon the Company’s senior leverage ratio or (b) the Bloomberg Short-Term Bank Yield Index (“BSBY”), plus an applicable margin determined based upon the Company’s senior leverage ratio. The applicable margin on the base rate is between 0.50% and 1.25% on revolver borrowings and between 1.75% and 2.50% on term loans. The applicable margin on the BSBY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95"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March 31, 2023, the Company was in compliance with all provisions under the facility.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702"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27"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In connection with securing the commitments under the Credit Agreement and the April 20, 2018, October 1, 2020 and December 29, 2021 amendments to the Credit Agreement, the Company paid a commitment fee and incurred deferred financing costs totaling $975,000, which were capitalized and are being amortized as interest expense over the life of the facility. Deferred financing costs of $275,000 and $293,000 (net of amortization) as of March 31, 2023 and December 31, 2022, respectively, are presented as long-term assets in the Company’s Consolidated Balance Sheets.</w:t>
      </w:r>
    </w:p>
    <w:p>
      <w:pPr>
        <w:spacing w:after="0" w:line="19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March 31, 2023 and December 31, 2022, the Company’s outstanding borrowings under the Revolver totaled $0 and $0, respectively; and unused borrowing capacity available was approximately $31.5 million and $31.8 million, respectively. The Company’s outstanding borrowings under the term loan were $0 and $1.1 million at March 31, 2023 and December 31, 2022, respectively.</w:t>
      </w:r>
    </w:p>
    <w:p>
      <w:pPr>
        <w:spacing w:after="0" w:line="328" w:lineRule="exact"/>
        <w:rPr>
          <w:sz w:val="20"/>
          <w:szCs w:val="20"/>
          <w:color w:val="auto"/>
        </w:rPr>
      </w:pPr>
    </w:p>
    <w:p>
      <w:pPr>
        <w:ind w:left="560" w:hanging="44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components of income before income taxes, as shown in the accompanying Financial Statements, consisted of the following for the three months ended March 31, 2023, and 2022:</w:t>
      </w:r>
    </w:p>
    <w:p>
      <w:pPr>
        <w:spacing w:after="0" w:line="189"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Three Months Ended</w:t>
      </w:r>
    </w:p>
    <w:p>
      <w:pPr>
        <w:jc w:val="center"/>
        <w:ind w:left="6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r>
      <w:tr>
        <w:trPr>
          <w:trHeight w:val="155"/>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1060" w:type="dxa"/>
            <w:vAlign w:val="bottom"/>
            <w:gridSpan w:val="4"/>
          </w:tcPr>
          <w:p>
            <w:pPr>
              <w:jc w:val="right"/>
              <w:ind w:right="3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2,080</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3,315</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23"/>
        </w:trPr>
        <w:tc>
          <w:tcPr>
            <w:tcW w:w="650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8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has foreign subsidiaries which generate revenues from non-U.S.-based clients. Additionally, these subsidiaries provide services to the Company’s U.S. operations. Accordingly, the Company allocates a portion of its income to these subsidiaries based on a “transfer pricing” model and reports such income as foreign in the above table.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provision for income taxes, as shown in the accompanying Financial Statements, consisted of the following for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2023, and 2022:</w:t>
      </w:r>
    </w:p>
    <w:p>
      <w:pPr>
        <w:spacing w:after="0" w:line="229"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Three Months Ended</w:t>
      </w:r>
    </w:p>
    <w:p>
      <w:pPr>
        <w:jc w:val="center"/>
        <w:ind w:left="6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2"/>
              </w:rPr>
              <w:t>(Amounts</w:t>
            </w:r>
          </w:p>
        </w:tc>
        <w:tc>
          <w:tcPr>
            <w:tcW w:w="1200" w:type="dxa"/>
            <w:vAlign w:val="bottom"/>
            <w:gridSpan w:val="3"/>
          </w:tcPr>
          <w:p>
            <w:pPr>
              <w:jc w:val="right"/>
              <w:ind w:right="9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711</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140" w:type="dxa"/>
            <w:vAlign w:val="bottom"/>
            <w:gridSpan w:val="2"/>
          </w:tcPr>
          <w:p>
            <w:pPr>
              <w:jc w:val="right"/>
              <w:ind w:right="448"/>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provision</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Deferred provision (benefit):</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1140" w:type="dxa"/>
            <w:vAlign w:val="bottom"/>
            <w:gridSpan w:val="2"/>
          </w:tcPr>
          <w:p>
            <w:pPr>
              <w:jc w:val="right"/>
              <w:ind w:right="448"/>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20" w:type="dxa"/>
            <w:vAlign w:val="bottom"/>
          </w:tcPr>
          <w:p>
            <w:pPr>
              <w:spacing w:after="0"/>
              <w:rPr>
                <w:sz w:val="20"/>
                <w:szCs w:val="20"/>
                <w:color w:val="auto"/>
              </w:rPr>
            </w:pPr>
          </w:p>
        </w:tc>
        <w:tc>
          <w:tcPr>
            <w:tcW w:w="6360" w:type="dxa"/>
            <w:vAlign w:val="bottom"/>
          </w:tcPr>
          <w:p>
            <w:pPr>
              <w:ind w:left="700"/>
              <w:spacing w:after="0"/>
              <w:rPr>
                <w:sz w:val="20"/>
                <w:szCs w:val="20"/>
                <w:color w:val="auto"/>
              </w:rPr>
            </w:pPr>
            <w:r>
              <w:rPr>
                <w:rFonts w:ascii="Arial" w:cs="Arial" w:eastAsia="Arial" w:hAnsi="Arial"/>
                <w:sz w:val="18"/>
                <w:szCs w:val="18"/>
                <w:color w:val="auto"/>
              </w:rPr>
              <w:t>Total deferred provision (benefit)</w:t>
            </w: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reconciliation of income taxes computed using the statutory U.S. income tax rate and the provision for income taxes for the three months ended March 31, 2023, and 2022 were as follows (amounts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6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6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 2023</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taxes computed at the federal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Excess tax expense (benefits) from stock options/restricted shares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Difference in tax rate on foreign earnings/other</w:t>
            </w: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915</w:t>
            </w:r>
          </w:p>
        </w:tc>
        <w:tc>
          <w:tcPr>
            <w:tcW w:w="3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r>
      <w:tr>
        <w:trPr>
          <w:trHeight w:val="20"/>
        </w:trPr>
        <w:tc>
          <w:tcPr>
            <w:tcW w:w="6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060"/>
          </w:cols>
          <w:pgMar w:left="320" w:top="702" w:right="519" w:bottom="1440" w:gutter="0" w:footer="0" w:header="0"/>
        </w:sectPr>
      </w:pPr>
    </w:p>
    <w:p>
      <w:pPr>
        <w:jc w:val="center"/>
        <w:ind w:right="-1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060"/>
          </w:cols>
          <w:pgMar w:left="320" w:top="702" w:right="5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March 31, 2023, our valuation allowance was comprised of balances within locations of Singapore, Ireland and the United Kingdom. The valuation allowance balances at these locations totaled $588,000 and $559,000 as of March 31, 2023 and December 31, 2022, respectively, and reflect net operating losses which may not be realizable in the future. In the third quarter of 2022, the Company decided to close the Singapore and Ireland operations.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Canadian subsidiary is currently under audit by Revenue Canada for the years 2018 and 2019.</w:t>
      </w:r>
    </w:p>
    <w:p>
      <w:pPr>
        <w:spacing w:after="0" w:line="370" w:lineRule="exact"/>
        <w:rPr>
          <w:sz w:val="20"/>
          <w:szCs w:val="20"/>
          <w:color w:val="auto"/>
        </w:rPr>
      </w:pPr>
    </w:p>
    <w:p>
      <w:pPr>
        <w:ind w:left="560" w:hanging="444"/>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three months ended March 31, 2023, the Company did not repurchase any shares of common stock under this program.</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Additionally, the Company makes stock purchases from time to time to satisfy employee tax obligations related to its Stock Incentive Plan. The Company did not purchase any shares during the three months ended March 31, 2023 and 2022.</w:t>
      </w:r>
    </w:p>
    <w:p>
      <w:pPr>
        <w:spacing w:after="0" w:line="315" w:lineRule="exact"/>
        <w:rPr>
          <w:sz w:val="20"/>
          <w:szCs w:val="20"/>
          <w:color w:val="auto"/>
        </w:rPr>
      </w:pPr>
    </w:p>
    <w:p>
      <w:pPr>
        <w:ind w:left="560" w:hanging="444"/>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computation of basic earnings per share is based on the Company’s net income divided by the weighted average number of common shares outstanding. Diluted earnings per share reflect the potential dilution that could occur if outstanding stock options were exercised. The dilutive effect of stock options was calculated using the treasury stock method.</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For the three months ended March 31, 2023, there were 1,390,000 anti-dilutive stock options excluded from the computation of diluted earnings per share. For the three months ended March 31, 2022, there were zero anti-dilutive stock options excluded from the computation of diluted earnings per share.</w:t>
      </w:r>
    </w:p>
    <w:p>
      <w:pPr>
        <w:spacing w:after="0" w:line="328" w:lineRule="exact"/>
        <w:rPr>
          <w:sz w:val="20"/>
          <w:szCs w:val="20"/>
          <w:color w:val="auto"/>
        </w:rPr>
      </w:pPr>
    </w:p>
    <w:p>
      <w:pPr>
        <w:ind w:left="560" w:hanging="444"/>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Geographic Information</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Our reporting segments are: 1) Data and Analytics Services; and 2) IT Staffing Services.</w:t>
      </w:r>
    </w:p>
    <w:p>
      <w:pPr>
        <w:spacing w:after="0" w:line="22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702"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8"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w:t>
      </w:r>
    </w:p>
    <w:p>
      <w:pPr>
        <w:jc w:val="center"/>
        <w:ind w:left="614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w w:val="70"/>
              </w:rPr>
              <w:t>(Amounts</w:t>
            </w:r>
          </w:p>
        </w:tc>
        <w:tc>
          <w:tcPr>
            <w:tcW w:w="100" w:type="dxa"/>
            <w:vAlign w:val="bottom"/>
          </w:tcPr>
          <w:p>
            <w:pPr>
              <w:spacing w:after="0"/>
              <w:rPr>
                <w:sz w:val="13"/>
                <w:szCs w:val="13"/>
                <w:color w:val="auto"/>
              </w:rPr>
            </w:pPr>
          </w:p>
        </w:tc>
        <w:tc>
          <w:tcPr>
            <w:tcW w:w="1100" w:type="dxa"/>
            <w:vAlign w:val="bottom"/>
            <w:gridSpan w:val="6"/>
          </w:tcPr>
          <w:p>
            <w:pPr>
              <w:jc w:val="right"/>
              <w:ind w:right="72"/>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$ 10,152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45,668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49,603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6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88"/>
              </w:rPr>
              <w:t>$ 55,063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$ 59,755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8"/>
              <w:spacing w:after="0"/>
              <w:rPr>
                <w:sz w:val="20"/>
                <w:szCs w:val="20"/>
                <w:color w:val="auto"/>
              </w:rPr>
            </w:pPr>
            <w:r>
              <w:rPr>
                <w:rFonts w:ascii="Arial" w:cs="Arial" w:eastAsia="Arial" w:hAnsi="Arial"/>
                <w:sz w:val="18"/>
                <w:szCs w:val="18"/>
                <w:color w:val="auto"/>
                <w:w w:val="86"/>
              </w:rPr>
              <w:t>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86"/>
              </w:rPr>
              <w:t>21.6%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40" w:type="dxa"/>
            <w:vAlign w:val="bottom"/>
            <w:vMerge w:val="restart"/>
          </w:tcPr>
          <w:p>
            <w:pPr>
              <w:ind w:left="720"/>
              <w:spacing w:after="0"/>
              <w:rPr>
                <w:sz w:val="20"/>
                <w:szCs w:val="20"/>
                <w:color w:val="auto"/>
              </w:rPr>
            </w:pPr>
            <w:r>
              <w:rPr>
                <w:rFonts w:ascii="Arial" w:cs="Arial" w:eastAsia="Arial" w:hAnsi="Arial"/>
                <w:sz w:val="18"/>
                <w:szCs w:val="18"/>
                <w:color w:val="auto"/>
              </w:rPr>
              <w:t>Total gross margin %</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68"/>
              <w:spacing w:after="0"/>
              <w:rPr>
                <w:sz w:val="20"/>
                <w:szCs w:val="20"/>
                <w:color w:val="auto"/>
              </w:rPr>
            </w:pPr>
            <w:r>
              <w:rPr>
                <w:rFonts w:ascii="Arial" w:cs="Arial" w:eastAsia="Arial" w:hAnsi="Arial"/>
                <w:sz w:val="18"/>
                <w:szCs w:val="18"/>
                <w:color w:val="auto"/>
                <w:w w:val="86"/>
              </w:rPr>
              <w:t>24.5%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5"/>
          </w:tcPr>
          <w:p>
            <w:pPr>
              <w:jc w:val="right"/>
              <w:ind w:right="40"/>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20" w:type="dxa"/>
            <w:vAlign w:val="bottom"/>
            <w:tcBorders>
              <w:left w:val="single" w:sz="8" w:color="CCEEFF"/>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3,127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ind w:left="72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4,099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Interest expense, FX gains/losses and other,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3,247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Below is a reconciliation of segment total assets to consolidated total assets:</w:t>
            </w: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100" w:type="dxa"/>
            <w:vAlign w:val="bottom"/>
            <w:gridSpan w:val="8"/>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6"/>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73"/>
              </w:rPr>
              <w:t>(Amounts</w:t>
            </w:r>
          </w:p>
        </w:tc>
        <w:tc>
          <w:tcPr>
            <w:tcW w:w="3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gridSpan w:val="6"/>
          </w:tcPr>
          <w:p>
            <w:pPr>
              <w:ind w:left="100"/>
              <w:spacing w:after="0"/>
              <w:rPr>
                <w:sz w:val="20"/>
                <w:szCs w:val="20"/>
                <w:color w:val="auto"/>
              </w:rPr>
            </w:pPr>
            <w:r>
              <w:rPr>
                <w:rFonts w:ascii="Arial" w:cs="Arial" w:eastAsia="Arial" w:hAnsi="Arial"/>
                <w:sz w:val="18"/>
                <w:szCs w:val="18"/>
                <w:color w:val="auto"/>
              </w:rPr>
              <w:t>53,571</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55,263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740" w:type="dxa"/>
            <w:vAlign w:val="bottom"/>
            <w:tcBorders>
              <w:top w:val="single" w:sz="8" w:color="auto"/>
              <w:bottom w:val="single" w:sz="8" w:color="auto"/>
            </w:tcBorders>
            <w:gridSpan w:val="6"/>
          </w:tcPr>
          <w:p>
            <w:pPr>
              <w:ind w:lef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108,834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108,879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Below is geographic information related to our revenues from external customers:</w:t>
            </w: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10"/>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8"/>
              </w:rPr>
              <w:t>(Amounts</w:t>
            </w:r>
          </w:p>
        </w:tc>
        <w:tc>
          <w:tcPr>
            <w:tcW w:w="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0"/>
              </w:rPr>
              <w:t>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53,755</w:t>
            </w:r>
          </w:p>
        </w:tc>
        <w:tc>
          <w:tcPr>
            <w:tcW w:w="1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India and Other</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55,063</w:t>
            </w:r>
          </w:p>
        </w:tc>
        <w:tc>
          <w:tcPr>
            <w:tcW w:w="1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59,755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60" w:hanging="444"/>
        <w:spacing w:after="0"/>
        <w:tabs>
          <w:tab w:leader="none" w:pos="5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October 2021, the Financial Accounting Standards Board issued ASU 2021-08, “Business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We adopted this ASU on January 1, 2023 with no material impact on our financial statements.</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702"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You should read the following discussion in conjunction with our audited consolidated financial statements and accompanying notes for the year ended December 31, 2022, included in our Annual Report on Form 10-K, filed with the Securities and Exchange Commission (“SEC”) on March 27, 2023.</w:t>
      </w:r>
    </w:p>
    <w:p>
      <w:pPr>
        <w:spacing w:after="0" w:line="184"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2022.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Website Access to SEC Reports: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Company’s website is www.mastechdigital.com. The Company’s Annual Report on Form 10-K for the year ended December 31, 2022, current reports on Form 8-K and all other reports filed with the SEC, are available free of charge on the Investors page. The website is updated as soon as reasonably practical after such reports are filed electronically with the SEC.</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2022 for a more detailed discussion of our significant accounting policies and critical accounting estimates. There were no material changes to these critical accounting policies during the three months ended March 31, 2023.</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Employment-Related Claims Against the Company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December 2022, the Company received a demand letter from the attorney of a former employee who resigned from his employment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in November 2022. Among other allegations in the letter, this former employee has asserted various employment-related claims against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including a claim of wrongful termination. No lawsuit has been filed to date, and the parties currently plan to proceed to mediation in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attempt to reach a resolution. Due in part to the preliminary nature of this matter, the Company cannot reasonably estimate a possible loss, or range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loss, in connection with this matter. The Company disputes this former employee’s allegations, and management does not believe that the ultimate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outcome of this matter is likely to have a material adverse effect on the Company’s financial position or cash flows, although the resolution of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matter in any fiscal period may have a material adverse effect on the Company’s results of operations for that period. During the quarter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2023, the Company incurred approximately $400,000 of professional services fees related to this matter. This expense is included in selling,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 expenses in the Condensed Consolidated Statements of Operations.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portfolio of offerings includes data management and analytics services; other digital transformation services such as digital learning services; and IT staffing services.</w:t>
      </w:r>
    </w:p>
    <w:p>
      <w:pPr>
        <w:spacing w:after="0" w:line="170"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ectPr>
          <w:pgSz w:w="11900" w:h="16838" w:orient="portrait"/>
          <w:cols w:equalWidth="0" w:num="1">
            <w:col w:w="11120"/>
          </w:cols>
          <w:pgMar w:left="320" w:top="702" w:right="459" w:bottom="1440" w:gutter="0" w:footer="0" w:header="0"/>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120"/>
          </w:cols>
          <w:pgMar w:left="320" w:top="702"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 and Analytics: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provide information regarding our new bookings in our Data and Analytics Services segment, which represents the estimated value of client engagements, including those acquired through acquisitions, as well as renewals, extensions and changes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Trends and Outlook:</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Generally, our business outlook is highly correlated to general North American economic conditions. During periods of increasing employment and economic expansion, demand for our services tends to increase. Conversely, during periods of contracting employment and/or a slowing global economy, demand for our services tends to decline. As the economy slowed in 2007 and recessionary conditions emerged in 2008 and 2009, we experienced less demand for our IT staffing services. With economic expansion during the period from 2010 through 2019, activity levels improved. However, as the recovery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the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has caused some uncertainty and disruption in the global markets. In 2022, COVID-19-related concerns seemed to subside, however, increased inflation, expanding interest rates and concerns about a possible recession created much uncertainty and impacted demand for our services in the second half of the year. During the first quarter of 2023, economic uncertainty continued to impact our business, particularly in our IT Staffing Services segment, as we experienced a reduced demand from our clients to invest in new projects. Additionally, it is difficult to predict the impact or duration that these economic pressures may have on our business and results of operations in future quarters.</w:t>
      </w:r>
    </w:p>
    <w:p>
      <w:pPr>
        <w:spacing w:after="0" w:line="17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2022).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managed service providers to manage their contractor spending. Both of these dynamics may pressure our IT staffing gross margins in the future.</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 We believe these challenges will remain in 2023.</w:t>
      </w:r>
    </w:p>
    <w:p>
      <w:pPr>
        <w:spacing w:after="0" w:line="1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Within our Data and Analytics Services segment, many customers are satisfying their data and analytics needs using a holistic approach. This often results in the customer using one vendor partner rather than multiple vendors. We have responded to this trend by establishing a service offering called “Center of Excellence,” which bundles a customer’s total requirements under a multi-year contract. This concept allows us to better understand the customer’s longer-term strategy with respect to data and analytics and effectively address such needs.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702"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2023 as Compared to the Three Months Ended March 31, 2022: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Revenues for the three months ended March 31, 2023 totaled $55.1 million compared to $59.8 million for the corresponding three-month period in 2022. This 8% year-over-year revenue decrease reflected a 7% decline in our Data and Analytics Services segment and an 8% decline in our IT Staffing Services segment. For the three months ended March 31, 2023, the Company had one client that had revenues in excess of 10% of total revenues (CGI = 25.5%). For the three months ended March 31, 2022, the Company had one client that had revenues in excess of 10% of total revenues (CGI = 17.8%). The Company’s top ten clients represented approximately 56% and 51% of total revenues for the three months ended March 31, 2023 and 2022, respectively.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revenues by reportable segment for the three months ended March 31, 2023 and 2022,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w w:val="93"/>
              </w:rPr>
              <w:t>Revenues (Amounts in thousands)</w:t>
            </w:r>
          </w:p>
        </w:tc>
        <w:tc>
          <w:tcPr>
            <w:tcW w:w="3980" w:type="dxa"/>
            <w:vAlign w:val="bottom"/>
            <w:gridSpan w:val="3"/>
          </w:tcPr>
          <w:p>
            <w:pPr>
              <w:ind w:left="2620"/>
              <w:spacing w:after="0"/>
              <w:rPr>
                <w:sz w:val="20"/>
                <w:szCs w:val="20"/>
                <w:color w:val="auto"/>
              </w:rPr>
            </w:pPr>
            <w:r>
              <w:rPr>
                <w:rFonts w:ascii="Arial" w:cs="Arial" w:eastAsia="Arial" w:hAnsi="Arial"/>
                <w:sz w:val="14"/>
                <w:szCs w:val="14"/>
                <w:b w:val="1"/>
                <w:bCs w:val="1"/>
                <w:color w:val="auto"/>
                <w:w w:val="96"/>
              </w:rPr>
              <w:t>Three Months Ended</w:t>
            </w:r>
          </w:p>
        </w:tc>
        <w:tc>
          <w:tcPr>
            <w:tcW w:w="8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vMerge w:val="continue"/>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March 31, 2023</w:t>
            </w: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March 31, 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6"/>
              </w:rPr>
              <w:t>Data and Analytics Services</w:t>
            </w:r>
          </w:p>
        </w:tc>
        <w:tc>
          <w:tcPr>
            <w:tcW w:w="274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IT Staffing Services</w:t>
            </w:r>
          </w:p>
        </w:tc>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45,668</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55,063</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Revenues from our Data and Analytics Services segment totaled $9.4 million in the quarter ended March 31, 2023, compared to $10.2 million in the corresponding quarter last year. This decline largely reflects a soft booking performance during the last half of 2022. Bookings during the first quarter of 2023 totaled $8.4 million, which sequentially exceeded fourth quarter 2022 bookings. Additionally, pipeline opportunities and RFP activity significantly increased in the first quarter of 2023, compared to the second half of 2022.</w:t>
      </w:r>
    </w:p>
    <w:p>
      <w:pPr>
        <w:spacing w:after="0" w:line="18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Revenues from our IT Staffing Services segment totaled $45.7 million in the three months ended March 31, 2023, compared to $49.6 million during the corresponding 2022 period. This 8% revenue decline largely reflected a net 84 person decrease in billable consultants during the first quarter of 2023. Billing consultants at March 31, 2023 totaled 1,124-consultants compared to 1,295-consultants at March 31, 2022. Our average bill rate in the first quarter of 2023 for this segment was $80.55 per hour compared to $78.99 per hour in the first quarter of 2022. The increase in average bill rate was due to higher rates on new assignments and is reflective of the types of skill sets that we deployed. Permanent placement / fee revenues were approximately $0.2 million during the quarter ended March 31, 2023, which was $0.4 million lower than our permanent placement performance of a year ago.</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Gross profits in the first quarter of 2023 totaled $13.5 million, compared to gross profits of $15.9 million in the first quarter of 2022, a 15% year-over-year decrease. Gross profit as a percentage of revenue was 24.5% for the three-month period ending March 31, 2023, compared to 26.7% during the same period of 2022. This 2.2% decrease reflected declines in gross margins from both of our business segments in the 2023 first quarter.</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tabular presentation of gross margin by reporting segment for the three months ended March 31, 2023 and 2022, respectively:</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Margin</w:t>
            </w:r>
          </w:p>
        </w:tc>
        <w:tc>
          <w:tcPr>
            <w:tcW w:w="23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8"/>
              </w:rPr>
              <w:t>Three Months Ended</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3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March 31, 2023</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and Analytics Services</w:t>
            </w:r>
          </w:p>
        </w:tc>
        <w:tc>
          <w:tcPr>
            <w:tcW w:w="2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38.5%</w:t>
            </w:r>
          </w:p>
        </w:tc>
        <w:tc>
          <w:tcPr>
            <w:tcW w:w="1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3"/>
              </w:rPr>
              <w:t>45.2%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13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1"/>
              </w:rPr>
              <w:t>21.6</w:t>
            </w: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85"/>
              </w:rPr>
              <w:t>22.9</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gross margin</w:t>
            </w:r>
          </w:p>
        </w:tc>
        <w:tc>
          <w:tcPr>
            <w:tcW w:w="2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24.5%</w:t>
            </w:r>
          </w:p>
        </w:tc>
        <w:tc>
          <w:tcPr>
            <w:tcW w:w="15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3"/>
              </w:rPr>
              <w:t>26.7%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Gross margins for our Data and Analytics Services segment were 38.5% during the third quarter of 2023 compared to 45.2% during the first quarter of 2022. The margin decline reflected lower utilization and lower project margins on several long-term assignments due to compensation increases in 2022.</w:t>
      </w:r>
    </w:p>
    <w:p>
      <w:pPr>
        <w:spacing w:after="0" w:line="18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Gross margins for our IT Staffing Services segment were 21.6% in the first quarter of 2023 compared to 22.9% during the corresponding quarter of 2022. This 1.3% reduction was largely due to lower permanent placement fees of $0.4 million and lower utilization rates on several major clients.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702"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(“SG&amp;A”) Expenses:</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Below is a tabular presentation of operating expenses by sales, operations, amortization of acquired intangible assets and general and administrative categories for the three months ended March 31, 2023 and 2022, respectively:</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4800" w:type="dxa"/>
            <w:vAlign w:val="bottom"/>
            <w:gridSpan w:val="4"/>
          </w:tcPr>
          <w:p>
            <w:pPr>
              <w:spacing w:after="0"/>
              <w:rPr>
                <w:sz w:val="20"/>
                <w:szCs w:val="20"/>
                <w:color w:val="auto"/>
              </w:rPr>
            </w:pPr>
            <w:r>
              <w:rPr>
                <w:rFonts w:ascii="Arial" w:cs="Arial" w:eastAsia="Arial" w:hAnsi="Arial"/>
                <w:sz w:val="14"/>
                <w:szCs w:val="14"/>
                <w:b w:val="1"/>
                <w:bCs w:val="1"/>
                <w:color w:val="auto"/>
              </w:rPr>
              <w:t>SG&amp;A Expenses (Amounts in millions)</w:t>
            </w:r>
          </w:p>
        </w:tc>
        <w:tc>
          <w:tcPr>
            <w:tcW w:w="14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r>
      <w:tr>
        <w:trPr>
          <w:trHeight w:val="189"/>
        </w:trPr>
        <w:tc>
          <w:tcPr>
            <w:tcW w:w="20" w:type="dxa"/>
            <w:vAlign w:val="bottom"/>
          </w:tcPr>
          <w:p>
            <w:pPr>
              <w:spacing w:after="0"/>
              <w:rPr>
                <w:sz w:val="16"/>
                <w:szCs w:val="16"/>
                <w:color w:val="auto"/>
              </w:rPr>
            </w:pPr>
          </w:p>
        </w:tc>
        <w:tc>
          <w:tcPr>
            <w:tcW w:w="478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Data and Analytics Services Segment</w:t>
            </w: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Sales and Marketing</w:t>
            </w:r>
          </w:p>
        </w:tc>
        <w:tc>
          <w:tcPr>
            <w:tcW w:w="2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r>
      <w:tr>
        <w:trPr>
          <w:trHeight w:val="20"/>
        </w:trPr>
        <w:tc>
          <w:tcPr>
            <w:tcW w:w="2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IT Staffing Services Segment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Sales and Marketing</w:t>
            </w:r>
          </w:p>
        </w:tc>
        <w:tc>
          <w:tcPr>
            <w:tcW w:w="26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2.2</w:t>
            </w: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SG&amp;A Expenses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SG&amp;A expenses for the three months ended March 31, 2023 totaled $12.9 million or 23.5% of total revenues, compared to $12.6 million or 21.1% of total revenues for the three months ended March 31, 2022. Excluding amortization of acquired intangible assets in both periods, SG&amp;A expense as a percentage of total revenues would have been 22.1% and 19.7%,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Fluctuations within SG&amp;A expense components during the first quarter of 2023, compared to the first quarter of 2022, included the following:</w:t>
      </w:r>
    </w:p>
    <w:p>
      <w:pPr>
        <w:spacing w:after="0" w:line="142" w:lineRule="exact"/>
        <w:rPr>
          <w:sz w:val="20"/>
          <w:szCs w:val="20"/>
          <w:color w:val="auto"/>
        </w:rPr>
      </w:pPr>
    </w:p>
    <w:p>
      <w:pPr>
        <w:ind w:left="1100" w:right="320" w:hanging="433"/>
        <w:spacing w:after="0" w:line="259"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expense decreased by $0.8 million in the 2023 period compared to the corresponding 2022 period. Approximately $0.5 million related to our Data and Analytics Services segment, which reflected a lower headcount / salaries and lower commissions and bonus accruals. Sales expense in our IT Staffing Services segment decreased by $0.3 million largely due to lower variable compensation expense.</w:t>
      </w:r>
    </w:p>
    <w:p>
      <w:pPr>
        <w:spacing w:after="0" w:line="92" w:lineRule="exact"/>
        <w:rPr>
          <w:rFonts w:ascii="Arial" w:cs="Arial" w:eastAsia="Arial" w:hAnsi="Arial"/>
          <w:sz w:val="18"/>
          <w:szCs w:val="18"/>
          <w:color w:val="auto"/>
        </w:rPr>
      </w:pPr>
    </w:p>
    <w:p>
      <w:pPr>
        <w:ind w:left="1100" w:hanging="433"/>
        <w:spacing w:after="0" w:line="311" w:lineRule="auto"/>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Operations expenses decreased by $0.4 million in the 2023 period compared to the corresponding 2022 period. Operations expenses were down $0.1 million in our Data and Analytics Services segment due to lower compensation expenses. In our IT Staffing Services segment operations expenses decreased by $0.3 million and reflected lower recruitment staff and lower variable compensation expenses.</w:t>
      </w:r>
    </w:p>
    <w:p>
      <w:pPr>
        <w:spacing w:after="0" w:line="54" w:lineRule="exact"/>
        <w:rPr>
          <w:rFonts w:ascii="Arial" w:cs="Arial" w:eastAsia="Arial" w:hAnsi="Arial"/>
          <w:sz w:val="16"/>
          <w:szCs w:val="16"/>
          <w:color w:val="auto"/>
        </w:rPr>
      </w:pPr>
    </w:p>
    <w:p>
      <w:pPr>
        <w:ind w:left="1100" w:hanging="43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Amortization of acquired intangible assets was $0.7 million in 2023 compared to $0.8 million in 2022.</w:t>
      </w:r>
    </w:p>
    <w:p>
      <w:pPr>
        <w:spacing w:after="0" w:line="130" w:lineRule="exact"/>
        <w:rPr>
          <w:rFonts w:ascii="Arial" w:cs="Arial" w:eastAsia="Arial" w:hAnsi="Arial"/>
          <w:sz w:val="18"/>
          <w:szCs w:val="18"/>
          <w:color w:val="auto"/>
        </w:rPr>
      </w:pPr>
    </w:p>
    <w:p>
      <w:pPr>
        <w:ind w:left="1100" w:right="100" w:hanging="433"/>
        <w:spacing w:after="0" w:line="275" w:lineRule="auto"/>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and administrative expenses increased by $1.6 million in the 2023 period compared to the corresponding 2022 period. General and administrative expense in our Data and Analytics Services segment increased by $1.3 million due to higher executive compensation (we did not have a CEO for this segment in place during the first quarter of 2022); higher legal expenses and an increase in leadership staff other than the CEO of this segment. In our IT Staffing Services segment, general and administrative expenses increased by approximately $0.3 million due to higher corporate-related expenses and an increases in travel expenses.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 (Expense) Components: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Other Income / (Expense) for the three months ended March 31, 2023 consisted of net interest income of $4,000 and foreign exchange losses of ($57,000). For the three months ended March 31, 2022, Other Income / (Expense) consisted of interest expense of ($114,000) and foreign exchange gains of $54,000. The lower level of interest expense was reflective of us not having any bank debt after making the final term loan payment on our Term Loan in January 2023.</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Income tax expense for the three months ended March 31, 2023 totaled $218,000, representing an effective tax rate on pre-tax income of 45.5%, compared to $915,000 for the three months ended March 31, 2022, which represented a 28.2% effective tax rate on pre-tax income. The higher effective tax rate in the 2023 period largely reflected our tax valuation allowance related to foreign net operating losses (“NOLs”) in the UK and excess tax expense from stock options/restricted shares, as a percentage of our pre-tax income.</w:t>
      </w:r>
    </w:p>
    <w:p>
      <w:pPr>
        <w:sectPr>
          <w:pgSz w:w="11900" w:h="16838" w:orient="portrait"/>
          <w:cols w:equalWidth="0" w:num="1">
            <w:col w:w="11120"/>
          </w:cols>
          <w:pgMar w:left="320" w:top="702" w:right="45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120"/>
          </w:cols>
          <w:pgMar w:left="320" w:top="702" w:right="4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Conditions and Liquidity:</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March 31, 2023, we had no bank debt, cash balances on hand, of $9.1 million and approximately $31.5 million of borrowing capacity under our existing credit facility.</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Historically, we have funded our organic business needs with cash generated from operating activities. Controlling our operating working capital levels by closely managing our accounts receivable balance is an important element of cash generation. As of March 31, 2023, our accounts receivable “days sales outstanding” (“DSOs”) measurement was 61-days, which was three days lower than at March 31, 2022.</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believe that cash provided by operating activities, cash balances on hand and current availability under our credit facility will be adequate to fund our business needs and support the share repurchase program we announced in February 2023 over the next twelve months, absent any acquisition-related activities.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provided by (used in) operating activities: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Cash provided by operating activities for the three months ended March 31, 2023 totaled $3.1 million compared to $1.6 million during the three months ended March 31, 2022. Elements of cash flows in the 2023 period were net income of $0.3 million, non-cash charges of $1.6 million, and a decrease in operating working capital levels of $1.2 million. During the three months ended March 31, 2022, elements of cash flow were net income of $2.3 million, non-cash charges of $2.1 million, and an increase in operating working capital levels of ($2.8 million).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Cash (used in) investing activities for the three months ended March 31, 2023 was ($7,000) compared to ($646,000) for the three months ended March 31, 2022. In the 2023 period, investing activities included $97,000 of capital expenditures, partially offset by $90,000 of deposit recoveries. In the 2022 period, investing activities included ($730,000) of capital expenditures, partially offset by $84,000 of deposit recoveries. The increase in capital expenditures in 2022 compared to 2023 reflects expenditures related to the Chennai delivery center in India and the implementation of Oracle Cloud for the Data and Analytics Services segment.</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provided by (used in) financing activities: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Cash provided by (used in) financing activities for the three months ended March 31, 2023 totaled ($1.1 million) and consisted of our final term-loan debt repayment. Cash provided by (used in) financing activities for the three months ended March 31, 2022 totaled ($0.2 million) and consisted of debt repayments of ($1.1 million), partially offset by proceeds from the exercise of stock options of $0.9 million.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cost of borrowings.</w:t>
      </w:r>
    </w:p>
    <w:p>
      <w:pPr>
        <w:spacing w:after="0" w:line="17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addition, refer to “Item 1A. Risk factors” in our 2022 Annual Report on Form 10-K for a discussion about risks that inflation directly or indirectly may pose to our business.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702"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Recent accounting pronouncements are described in Note 14 to the accompanying financial statements.</w:t>
      </w:r>
    </w:p>
    <w:p>
      <w:pPr>
        <w:spacing w:after="0" w:line="370"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addition to the inherent operational risks, the Company is exposed to certain market risks, primarily related to changes in interest rates and currency fluctuations.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As of March 31, 2023, we had no outstanding borrowings under our Credit Agreement with PNC Bank and certain other financial institution lenders — Refer to Note 9 – “Credit Facility” in the Notes to Condensed Consolidated Financial Statements, included herein.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and have not been material for all periods presented. A hypothetical 10% increase or decrease in overall foreign currency rates in the first quarter ended March 31, 2023 would not have had a material impact on our consolidated financial statements.</w:t>
      </w:r>
    </w:p>
    <w:p>
      <w:pPr>
        <w:spacing w:after="0" w:line="32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702"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March 31, 2023 that materially affected, or are reasonably likely to materially affect, our internal control over financial reporting.</w:t>
      </w:r>
    </w:p>
    <w:p>
      <w:pPr>
        <w:spacing w:after="0" w:line="38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8"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There have been no material changes from the risk factors as previously disclosed in our Annual Report on Form 10-K for the year ended December 31, 2022, filed with the SEC on March 27, 2023.</w:t>
      </w:r>
    </w:p>
    <w:p>
      <w:pPr>
        <w:spacing w:after="0" w:line="31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320" w:top="702" w:right="5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60" w:type="dxa"/>
            <w:vAlign w:val="bottom"/>
            <w:gridSpan w:val="11"/>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10940" w:type="dxa"/>
            <w:vAlign w:val="bottom"/>
            <w:gridSpan w:val="12"/>
          </w:tcPr>
          <w:p>
            <w:pPr>
              <w:ind w:left="440"/>
              <w:spacing w:after="0"/>
              <w:rPr>
                <w:sz w:val="20"/>
                <w:szCs w:val="20"/>
                <w:color w:val="auto"/>
              </w:rPr>
            </w:pPr>
            <w:r>
              <w:rPr>
                <w:rFonts w:ascii="Arial" w:cs="Arial" w:eastAsia="Arial" w:hAnsi="Arial"/>
                <w:sz w:val="18"/>
                <w:szCs w:val="18"/>
                <w:color w:val="auto"/>
              </w:rPr>
              <w:t>(a) Exhibits</w:t>
            </w:r>
          </w:p>
        </w:tc>
      </w:tr>
      <w:tr>
        <w:trPr>
          <w:trHeight w:val="418"/>
        </w:trPr>
        <w:tc>
          <w:tcPr>
            <w:tcW w:w="880" w:type="dxa"/>
            <w:vAlign w:val="bottom"/>
          </w:tcPr>
          <w:p>
            <w:pPr>
              <w:ind w:left="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840" w:type="dxa"/>
            <w:vAlign w:val="bottom"/>
            <w:gridSpan w:val="10"/>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Schedule A-7, dated March 15, 2023, to Fourth Amended and Restated Executive Employment Agreement, dated as of March 20, 2019,</w:t>
              </w:r>
            </w:hyperlink>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between Mastech Digital Technologies, Inc., Mastech Digital, Inc. and Vivek Gupta, incorporated by reference to Exhibit 10.1 to</w:t>
              </w:r>
            </w:hyperlink>
          </w:p>
        </w:tc>
        <w:tc>
          <w:tcPr>
            <w:tcW w:w="4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Mastech Digital, Inc.’s Current Report on Form 8-K filed with the SEC on March 17, 2023</w:t>
              </w:r>
            </w:hyperlink>
          </w:p>
        </w:tc>
        <w:tc>
          <w:tcPr>
            <w:tcW w:w="3300" w:type="dxa"/>
            <w:vAlign w:val="bottom"/>
            <w:gridSpan w:val="7"/>
          </w:tcPr>
          <w:p>
            <w:pPr>
              <w:spacing w:after="0"/>
              <w:rPr>
                <w:sz w:val="17"/>
                <w:szCs w:val="17"/>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9840" w:type="dxa"/>
            <w:vAlign w:val="bottom"/>
            <w:tcBorders>
              <w:bottom w:val="single" w:sz="8" w:color="0000EE"/>
            </w:tcBorders>
            <w:gridSpan w:val="10"/>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Schedule A-12, dated March 15, 2023, to Third Amended and Restated Executive Employment Agreement, dated as of March 20, 2019,</w:t>
              </w:r>
            </w:hyperlink>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between Mastech Digital Technologies, Inc., Mastech Digital, Inc. and John J. Cronin, Jr., incorporated by reference to Exhibit 10.2 to</w:t>
              </w:r>
            </w:hyperlink>
          </w:p>
        </w:tc>
        <w:tc>
          <w:tcPr>
            <w:tcW w:w="12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Mastech Digital, Inc.’s Current Report on Form 8-K filed with the SEC on March 17, 2023</w:t>
              </w:r>
            </w:hyperlink>
          </w:p>
        </w:tc>
        <w:tc>
          <w:tcPr>
            <w:tcW w:w="3300" w:type="dxa"/>
            <w:vAlign w:val="bottom"/>
            <w:gridSpan w:val="7"/>
          </w:tcPr>
          <w:p>
            <w:pPr>
              <w:spacing w:after="0"/>
              <w:rPr>
                <w:sz w:val="17"/>
                <w:szCs w:val="17"/>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87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pursuant to Section 302 of the Sarbanes-Oxley Act of 2002 by the Chief Executive Officer is filed herewith.</w:t>
            </w:r>
          </w:p>
        </w:tc>
        <w:tc>
          <w:tcPr>
            <w:tcW w:w="1060" w:type="dxa"/>
            <w:vAlign w:val="bottom"/>
            <w:gridSpan w:val="5"/>
          </w:tcPr>
          <w:p>
            <w:pPr>
              <w:spacing w:after="0"/>
              <w:rPr>
                <w:sz w:val="24"/>
                <w:szCs w:val="24"/>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EE"/>
              </w:rPr>
              <w:t>Certification pursuant to Section 302 of the Sarbanes-Oxley Act of 2002 by the Chief Financial Officer is filed herewith.</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2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EE"/>
                <w:w w:val="92"/>
              </w:rPr>
              <w:t>Certification pursuant to 18 U.S.C. Section 1350, as adopted pursuant to Section 906 of the Sarbanes-Oxley Act of 2002, by the Chief</w:t>
            </w: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Executive Officer is furnished herewith.</w:t>
            </w:r>
          </w:p>
        </w:tc>
        <w:tc>
          <w:tcPr>
            <w:tcW w:w="6800" w:type="dxa"/>
            <w:vAlign w:val="bottom"/>
            <w:tcBorders>
              <w:top w:val="single" w:sz="8" w:color="0000EE"/>
            </w:tcBorders>
            <w:gridSpan w:val="5"/>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0000EE"/>
                <w:w w:val="92"/>
              </w:rPr>
              <w:t>Certification pursuant to 18 U.S.C. Section 1350, as adopted pursuant to Section 906 of the Sarbanes-Oxley Act of 2002, by the Chief</w:t>
            </w: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Financial Officer is furnished herewith.</w:t>
            </w:r>
          </w:p>
        </w:tc>
        <w:tc>
          <w:tcPr>
            <w:tcW w:w="6860" w:type="dxa"/>
            <w:vAlign w:val="bottom"/>
            <w:tcBorders>
              <w:top w:val="single" w:sz="8" w:color="0000EE"/>
            </w:tcBorders>
            <w:gridSpan w:val="6"/>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98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left="5520" w:right="3260" w:hanging="5404"/>
        <w:spacing w:after="0" w:line="449" w:lineRule="auto"/>
        <w:tabs>
          <w:tab w:leader="none" w:pos="1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24</w:t>
      </w:r>
    </w:p>
    <w:p>
      <w:pPr>
        <w:sectPr>
          <w:pgSz w:w="11900" w:h="16838" w:orient="portrait"/>
          <w:cols w:equalWidth="0" w:num="1">
            <w:col w:w="11060"/>
          </w:cols>
          <w:pgMar w:left="320" w:top="702" w:right="5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12th day of May, 2023.</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MASTECH DIGITAL, INC.</w:t>
            </w: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May 12, 2023</w:t>
            </w:r>
          </w:p>
        </w:tc>
        <w:tc>
          <w:tcPr>
            <w:tcW w:w="3520" w:type="dxa"/>
            <w:vAlign w:val="bottom"/>
          </w:tcPr>
          <w:p>
            <w:pPr>
              <w:ind w:left="40"/>
              <w:spacing w:after="0"/>
              <w:rPr>
                <w:sz w:val="20"/>
                <w:szCs w:val="20"/>
                <w:color w:val="auto"/>
              </w:rPr>
            </w:pPr>
            <w:r>
              <w:rPr>
                <w:rFonts w:ascii="Arial" w:cs="Arial" w:eastAsia="Arial" w:hAnsi="Arial"/>
                <w:sz w:val="18"/>
                <w:szCs w:val="18"/>
                <w:color w:val="auto"/>
              </w:rPr>
              <w:t>/s/  VIVEK GUPTA</w:t>
            </w:r>
          </w:p>
        </w:tc>
      </w:tr>
      <w:tr>
        <w:trPr>
          <w:trHeight w:val="218"/>
        </w:trPr>
        <w:tc>
          <w:tcPr>
            <w:tcW w:w="58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tcPr>
          <w:p>
            <w:pPr>
              <w:jc w:val="center"/>
              <w:ind w:right="1590"/>
              <w:spacing w:after="0"/>
              <w:rPr>
                <w:sz w:val="20"/>
                <w:szCs w:val="20"/>
                <w:color w:val="auto"/>
              </w:rPr>
            </w:pPr>
            <w:r>
              <w:rPr>
                <w:rFonts w:ascii="Arial" w:cs="Arial" w:eastAsia="Arial" w:hAnsi="Arial"/>
                <w:sz w:val="18"/>
                <w:szCs w:val="18"/>
                <w:b w:val="1"/>
                <w:bCs w:val="1"/>
                <w:color w:val="auto"/>
                <w:w w:val="92"/>
              </w:rPr>
              <w:t>Vivek Gupta</w:t>
            </w:r>
          </w:p>
        </w:tc>
      </w:tr>
      <w:tr>
        <w:trPr>
          <w:trHeight w:val="234"/>
        </w:trPr>
        <w:tc>
          <w:tcPr>
            <w:tcW w:w="5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Chief Executive Officer</w:t>
            </w:r>
          </w:p>
        </w:tc>
      </w:tr>
      <w:tr>
        <w:trPr>
          <w:trHeight w:val="445"/>
        </w:trPr>
        <w:tc>
          <w:tcPr>
            <w:tcW w:w="5820" w:type="dxa"/>
            <w:vAlign w:val="bottom"/>
          </w:tcPr>
          <w:p>
            <w:pPr>
              <w:spacing w:after="0"/>
              <w:rPr>
                <w:sz w:val="24"/>
                <w:szCs w:val="24"/>
                <w:color w:val="auto"/>
              </w:rPr>
            </w:pPr>
          </w:p>
        </w:tc>
        <w:tc>
          <w:tcPr>
            <w:tcW w:w="1680" w:type="dxa"/>
            <w:vAlign w:val="bottom"/>
          </w:tcPr>
          <w:p>
            <w:pPr>
              <w:ind w:left="1480"/>
              <w:spacing w:after="0"/>
              <w:rPr>
                <w:sz w:val="20"/>
                <w:szCs w:val="20"/>
                <w:color w:val="auto"/>
              </w:rPr>
            </w:pPr>
            <w:r>
              <w:rPr>
                <w:rFonts w:ascii="Arial" w:cs="Arial" w:eastAsia="Arial" w:hAnsi="Arial"/>
                <w:sz w:val="18"/>
                <w:szCs w:val="18"/>
                <w:color w:val="auto"/>
                <w:w w:val="94"/>
              </w:rPr>
              <w:t>/s/</w:t>
            </w:r>
          </w:p>
        </w:tc>
        <w:tc>
          <w:tcPr>
            <w:tcW w:w="3520" w:type="dxa"/>
            <w:vAlign w:val="bottom"/>
          </w:tcPr>
          <w:p>
            <w:pPr>
              <w:jc w:val="center"/>
              <w:ind w:right="1550"/>
              <w:spacing w:after="0"/>
              <w:rPr>
                <w:sz w:val="20"/>
                <w:szCs w:val="20"/>
                <w:color w:val="auto"/>
              </w:rPr>
            </w:pPr>
            <w:r>
              <w:rPr>
                <w:rFonts w:ascii="Arial" w:cs="Arial" w:eastAsia="Arial" w:hAnsi="Arial"/>
                <w:sz w:val="18"/>
                <w:szCs w:val="18"/>
                <w:color w:val="auto"/>
                <w:w w:val="88"/>
              </w:rPr>
              <w:t>JOHN J. CRONIN,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0</wp:posOffset>
            </wp:positionV>
            <wp:extent cx="32918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Officer)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702" w:right="439" w:bottom="1440" w:gutter="0" w:footer="0" w:header="0"/>
        </w:sectPr>
      </w:pPr>
    </w:p>
    <w:bookmarkStart w:id="25" w:name="page26"/>
    <w:bookmarkEnd w:id="25"/>
    <w:p>
      <w:pPr>
        <w:ind w:left="10084"/>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1784"/>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Vivek Gupta, certify that:</w:t>
      </w:r>
    </w:p>
    <w:p>
      <w:pPr>
        <w:spacing w:after="0" w:line="131" w:lineRule="exact"/>
        <w:rPr>
          <w:sz w:val="20"/>
          <w:szCs w:val="20"/>
          <w:color w:val="auto"/>
        </w:rPr>
      </w:pPr>
    </w:p>
    <w:p>
      <w:pPr>
        <w:ind w:left="444" w:hanging="444"/>
        <w:spacing w:after="0"/>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30" w:lineRule="exact"/>
        <w:rPr>
          <w:rFonts w:ascii="Arial" w:cs="Arial" w:eastAsia="Arial" w:hAnsi="Arial"/>
          <w:sz w:val="18"/>
          <w:szCs w:val="18"/>
          <w:color w:val="auto"/>
        </w:rPr>
      </w:pPr>
    </w:p>
    <w:p>
      <w:pPr>
        <w:jc w:val="both"/>
        <w:ind w:left="444" w:right="60" w:hanging="444"/>
        <w:spacing w:after="0" w:line="263"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44" w:right="240" w:hanging="444"/>
        <w:spacing w:after="0" w:line="308" w:lineRule="auto"/>
        <w:tabs>
          <w:tab w:leader="none" w:pos="4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4" w:right="240" w:hanging="444"/>
        <w:spacing w:after="0" w:line="263" w:lineRule="auto"/>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84" w:right="80" w:hanging="544"/>
        <w:spacing w:after="0" w:line="263" w:lineRule="auto"/>
        <w:tabs>
          <w:tab w:leader="none" w:pos="9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84" w:hanging="544"/>
        <w:spacing w:after="0" w:line="263" w:lineRule="auto"/>
        <w:tabs>
          <w:tab w:leader="none" w:pos="9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84" w:right="200" w:hanging="544"/>
        <w:spacing w:after="0" w:line="342" w:lineRule="auto"/>
        <w:tabs>
          <w:tab w:leader="none" w:pos="984"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984" w:right="200" w:hanging="544"/>
        <w:spacing w:after="0" w:line="263" w:lineRule="auto"/>
        <w:tabs>
          <w:tab w:leader="none" w:pos="9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44" w:right="180" w:hanging="444"/>
        <w:spacing w:after="0" w:line="342" w:lineRule="auto"/>
        <w:tabs>
          <w:tab w:leader="none" w:pos="4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4" w:right="440" w:hanging="544"/>
        <w:spacing w:after="0" w:line="342" w:lineRule="auto"/>
        <w:tabs>
          <w:tab w:leader="none" w:pos="98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4" w:right="180" w:hanging="544"/>
        <w:spacing w:after="0" w:line="277" w:lineRule="auto"/>
        <w:tabs>
          <w:tab w:leader="none" w:pos="9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Arial" w:cs="Arial" w:eastAsia="Arial" w:hAnsi="Arial"/>
          <w:sz w:val="18"/>
          <w:szCs w:val="18"/>
          <w:color w:val="auto"/>
        </w:rPr>
        <w:t>Date: May 12, 2023</w:t>
      </w:r>
      <w:r>
        <w:rPr>
          <w:sz w:val="20"/>
          <w:szCs w:val="20"/>
          <w:color w:val="auto"/>
        </w:rPr>
        <w:tab/>
      </w:r>
      <w:r>
        <w:rPr>
          <w:rFonts w:ascii="Arial" w:cs="Arial" w:eastAsia="Arial" w:hAnsi="Arial"/>
          <w:sz w:val="16"/>
          <w:szCs w:val="16"/>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14605</wp:posOffset>
            </wp:positionV>
            <wp:extent cx="3145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Vivek Gupta</w:t>
      </w:r>
    </w:p>
    <w:p>
      <w:pPr>
        <w:spacing w:after="0" w:line="27"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024"/>
          </w:cols>
          <w:pgMar w:left="436" w:top="121" w:right="439" w:bottom="1440" w:gutter="0" w:footer="0" w:header="0"/>
        </w:sectPr>
      </w:pPr>
    </w:p>
    <w:bookmarkStart w:id="26" w:name="page27"/>
    <w:bookmarkEnd w:id="26"/>
    <w:p>
      <w:pPr>
        <w:ind w:left="10084"/>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1784"/>
        <w:spacing w:after="0"/>
        <w:rPr>
          <w:sz w:val="20"/>
          <w:szCs w:val="20"/>
          <w:color w:val="auto"/>
        </w:rPr>
      </w:pPr>
      <w:r>
        <w:rPr>
          <w:rFonts w:ascii="Arial" w:cs="Arial" w:eastAsia="Arial" w:hAnsi="Arial"/>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J. Cronin, Jr., certify that:</w:t>
      </w:r>
    </w:p>
    <w:p>
      <w:pPr>
        <w:spacing w:after="0" w:line="131" w:lineRule="exact"/>
        <w:rPr>
          <w:sz w:val="20"/>
          <w:szCs w:val="20"/>
          <w:color w:val="auto"/>
        </w:rPr>
      </w:pPr>
    </w:p>
    <w:p>
      <w:pPr>
        <w:ind w:left="444" w:hanging="444"/>
        <w:spacing w:after="0"/>
        <w:tabs>
          <w:tab w:leader="none" w:pos="4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Mastech Digital, Inc.;</w:t>
      </w:r>
    </w:p>
    <w:p>
      <w:pPr>
        <w:spacing w:after="0" w:line="130" w:lineRule="exact"/>
        <w:rPr>
          <w:rFonts w:ascii="Arial" w:cs="Arial" w:eastAsia="Arial" w:hAnsi="Arial"/>
          <w:sz w:val="18"/>
          <w:szCs w:val="18"/>
          <w:color w:val="auto"/>
        </w:rPr>
      </w:pPr>
    </w:p>
    <w:p>
      <w:pPr>
        <w:jc w:val="both"/>
        <w:ind w:left="444" w:right="60" w:hanging="444"/>
        <w:spacing w:after="0" w:line="263" w:lineRule="auto"/>
        <w:tabs>
          <w:tab w:leader="none" w:pos="4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44" w:right="240" w:hanging="444"/>
        <w:spacing w:after="0" w:line="308" w:lineRule="auto"/>
        <w:tabs>
          <w:tab w:leader="none" w:pos="444"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4" w:right="240" w:hanging="444"/>
        <w:spacing w:after="0" w:line="263" w:lineRule="auto"/>
        <w:tabs>
          <w:tab w:leader="none" w:pos="4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84" w:right="80" w:hanging="544"/>
        <w:spacing w:after="0" w:line="263" w:lineRule="auto"/>
        <w:tabs>
          <w:tab w:leader="none" w:pos="9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84" w:hanging="544"/>
        <w:spacing w:after="0" w:line="263" w:lineRule="auto"/>
        <w:tabs>
          <w:tab w:leader="none" w:pos="9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84" w:right="200" w:hanging="544"/>
        <w:spacing w:after="0" w:line="342" w:lineRule="auto"/>
        <w:tabs>
          <w:tab w:leader="none" w:pos="984"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984" w:right="200" w:hanging="544"/>
        <w:spacing w:after="0" w:line="263" w:lineRule="auto"/>
        <w:tabs>
          <w:tab w:leader="none" w:pos="9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44" w:right="180" w:hanging="444"/>
        <w:spacing w:after="0" w:line="342" w:lineRule="auto"/>
        <w:tabs>
          <w:tab w:leader="none" w:pos="4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84" w:right="440" w:hanging="544"/>
        <w:spacing w:after="0" w:line="342" w:lineRule="auto"/>
        <w:tabs>
          <w:tab w:leader="none" w:pos="984"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4" w:right="180" w:hanging="544"/>
        <w:spacing w:after="0" w:line="277" w:lineRule="auto"/>
        <w:tabs>
          <w:tab w:leader="none" w:pos="9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Arial" w:cs="Arial" w:eastAsia="Arial" w:hAnsi="Arial"/>
          <w:sz w:val="18"/>
          <w:szCs w:val="18"/>
          <w:color w:val="auto"/>
        </w:rPr>
        <w:t>Date: May 12, 2023</w:t>
      </w:r>
      <w:r>
        <w:rPr>
          <w:sz w:val="20"/>
          <w:szCs w:val="20"/>
          <w:color w:val="auto"/>
        </w:rPr>
        <w:tab/>
      </w:r>
      <w:r>
        <w:rPr>
          <w:rFonts w:ascii="Arial" w:cs="Arial" w:eastAsia="Arial" w:hAnsi="Arial"/>
          <w:sz w:val="15"/>
          <w:szCs w:val="15"/>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14605</wp:posOffset>
            </wp:positionV>
            <wp:extent cx="3145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ind w:left="6064"/>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24"/>
          </w:cols>
          <w:pgMar w:left="436" w:top="121"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March 31, 2023,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444" w:hanging="444"/>
        <w:spacing w:after="0"/>
        <w:tabs>
          <w:tab w:leader="none" w:pos="4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44" w:hanging="444"/>
        <w:spacing w:after="0"/>
        <w:tabs>
          <w:tab w:leader="none" w:pos="4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Vivek Gupta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12, 2023</w:t>
      </w:r>
    </w:p>
    <w:p>
      <w:pPr>
        <w:sectPr>
          <w:pgSz w:w="11900" w:h="16838" w:orient="portrait"/>
          <w:cols w:equalWidth="0" w:num="1">
            <w:col w:w="11004"/>
          </w:cols>
          <w:pgMar w:left="436" w:top="121" w:right="4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In connection with the Quarterly Report of Mastech Digital, Inc. (the “Company”) on Form 10-Q for the quarter ended March 31, 2023,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444" w:hanging="444"/>
        <w:spacing w:after="0"/>
        <w:tabs>
          <w:tab w:leader="none" w:pos="4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444" w:hanging="444"/>
        <w:spacing w:after="0"/>
        <w:tabs>
          <w:tab w:leader="none" w:pos="4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12, 2023</w:t>
      </w:r>
    </w:p>
    <w:sectPr>
      <w:pgSz w:w="11900" w:h="16838" w:orient="portrait"/>
      <w:cols w:equalWidth="0" w:num="1">
        <w:col w:w="11004"/>
      </w:cols>
      <w:pgMar w:left="436"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3"/>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1" Type="http://schemas.openxmlformats.org/officeDocument/2006/relationships/hyperlink" Target="http://www.sec.gov/Archives/edgar/data/1437226/000119312523073836/d486655dex101.htm" TargetMode="External"/><Relationship Id="rId42" Type="http://schemas.openxmlformats.org/officeDocument/2006/relationships/hyperlink" Target="http://www.sec.gov/Archives/edgar/data/1437226/000119312523073836/d48665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2023-05-12T07:19:14Z</dcterms:created>
  <dcterms:modified xsi:type="dcterms:W3CDTF">2023-05-12T07:19:14Z</dcterms:modified>
</cp:coreProperties>
</file>