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53855d10q.htm"/>
        <w:bookmarkStart w:id="1" w:name="ksd553855d10q"/>
        <w:bookmarkEnd w:id="0"/>
        <w:bookmarkEnd w:id="1"/>
        <w:r>
          <w:rPr>
            <w:rStyle w:val="InternetLink"/>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w:t>
      </w:r>
    </w:p>
    <w:p>
      <w:pPr>
        <w:pStyle w:val="TextBody"/>
        <w:bidi w:val="0"/>
        <w:spacing w:before="80" w:after="0"/>
        <w:jc w:val="center"/>
        <w:rPr>
          <w:rFonts w:ascii="Times New Roman" w:hAnsi="Times New Roman"/>
          <w:b/>
          <w:sz w:val="36"/>
        </w:rPr>
      </w:pPr>
      <w:r>
        <w:rPr>
          <w:rFonts w:ascii="Times New Roman" w:hAnsi="Times New Roman"/>
          <w:b/>
          <w:sz w:val="36"/>
        </w:rPr>
        <w:t>10-Q</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80" w:after="0"/>
        <w:jc w:val="center"/>
        <w:rPr>
          <w:rFonts w:ascii="Times New Roman" w:hAnsi="Times New Roman"/>
          <w:b/>
          <w:sz w:val="20"/>
        </w:rPr>
      </w:pPr>
      <w:r>
        <w:rPr>
          <w:rFonts w:ascii="Times New Roman" w:hAnsi="Times New Roman"/>
          <w:b/>
          <w:sz w:val="20"/>
        </w:rPr>
        <w:t xml:space="preserve">For the quarterly period ended September 30,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8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80" w:after="0"/>
        <w:jc w:val="center"/>
        <w:rPr>
          <w:rFonts w:ascii="Times New Roman" w:hAnsi="Times New Roman"/>
          <w:b/>
          <w:sz w:val="20"/>
        </w:rPr>
      </w:pPr>
      <w:r>
        <w:rPr>
          <w:rFonts w:ascii="Times New Roman" w:hAnsi="Times New Roman"/>
          <w:b/>
          <w:sz w:val="20"/>
        </w:rPr>
        <w:t>001-34099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8"/>
        </w:rPr>
      </w:pPr>
      <w:r>
        <w:rPr>
          <w:rFonts w:ascii="Times New Roman" w:hAnsi="Times New Roman"/>
          <w:b/>
          <w:sz w:val="48"/>
        </w:rPr>
        <w:t xml:space="preserve">MASTECH DIGITAL,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rPr>
            </w:pPr>
            <w:r>
              <w:rPr>
                <w:b/>
              </w:rPr>
              <w:t>PENNSYLVANIA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26-2753540</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4415"/>
        <w:gridCol w:w="60"/>
        <w:gridCol w:w="1145"/>
      </w:tblGrid>
      <w:tr>
        <w:trPr/>
        <w:tc>
          <w:tcPr>
            <w:tcW w:w="4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1305 Cherrington Parkway, Building 210, Suite 400</w:t>
            </w:r>
          </w:p>
          <w:p>
            <w:pPr>
              <w:pStyle w:val="TableContents"/>
              <w:bidi w:val="0"/>
              <w:spacing w:before="0" w:after="20"/>
              <w:jc w:val="center"/>
              <w:rPr>
                <w:rFonts w:ascii="Times New Roman" w:hAnsi="Times New Roman"/>
                <w:b/>
                <w:sz w:val="20"/>
              </w:rPr>
            </w:pPr>
            <w:r>
              <w:rPr>
                <w:rFonts w:ascii="Times New Roman" w:hAnsi="Times New Roman"/>
                <w:b/>
                <w:sz w:val="20"/>
              </w:rPr>
              <w:t>Moon Township, Pennsylvania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15108</w:t>
            </w:r>
          </w:p>
        </w:tc>
      </w:tr>
      <w:tr>
        <w:trPr/>
        <w:tc>
          <w:tcPr>
            <w:tcW w:w="4415" w:type="dxa"/>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(Zip Code)</w:t>
            </w:r>
          </w:p>
        </w:tc>
      </w:tr>
    </w:tbl>
    <w:p>
      <w:pPr>
        <w:pStyle w:val="TextBody"/>
        <w:bidi w:val="0"/>
        <w:spacing w:before="8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80" w:after="0"/>
        <w:jc w:val="center"/>
        <w:rPr>
          <w:rFonts w:ascii="Times New Roman" w:hAnsi="Times New Roman"/>
          <w:b/>
          <w:sz w:val="20"/>
        </w:rPr>
      </w:pPr>
      <w:r>
        <w:rPr>
          <w:rFonts w:ascii="Times New Roman" w:hAnsi="Times New Roman"/>
          <w:b/>
          <w:sz w:val="20"/>
        </w:rPr>
        <w:t>(412) 787-2100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4190"/>
        <w:gridCol w:w="60"/>
        <w:gridCol w:w="740"/>
        <w:gridCol w:w="60"/>
        <w:gridCol w:w="1760"/>
      </w:tblGrid>
      <w:tr>
        <w:trPr/>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Title of each class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bdr w:val="single" w:sz="8" w:space="1" w:color="000000"/>
              </w:rPr>
            </w:pPr>
            <w:r>
              <w:rPr>
                <w:rFonts w:ascii="Times New Roman" w:hAnsi="Times New Roman"/>
                <w:b/>
                <w:sz w:val="16"/>
                <w:bdr w:val="single" w:sz="8" w:space="1" w:color="000000"/>
              </w:rPr>
              <w:t>Symbol(s)</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bdr w:val="single" w:sz="8" w:space="1" w:color="000000"/>
              </w:rPr>
            </w:pPr>
            <w:r>
              <w:rPr>
                <w:rFonts w:ascii="Times New Roman" w:hAnsi="Times New Roman"/>
                <w:b/>
                <w:sz w:val="16"/>
                <w:bdr w:val="single" w:sz="8" w:space="1" w:color="000000"/>
              </w:rPr>
              <w:t>on which registered</w:t>
            </w:r>
          </w:p>
        </w:tc>
      </w:tr>
      <w:tr>
        <w:trPr/>
        <w:tc>
          <w:tcPr>
            <w:tcW w:w="4190" w:type="dxa"/>
            <w:tcBorders/>
            <w:vAlign w:val="center"/>
          </w:tcPr>
          <w:p>
            <w:pPr>
              <w:pStyle w:val="TableContents"/>
              <w:bidi w:val="0"/>
              <w:spacing w:before="0" w:after="0"/>
              <w:jc w:val="center"/>
              <w:rPr>
                <w:b/>
              </w:rPr>
            </w:pPr>
            <w:r>
              <w:rPr>
                <w:b/>
              </w:rPr>
              <w:t>Common Stock, par value $.01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rPr>
            </w:pPr>
            <w:r>
              <w:rPr>
                <w:b/>
              </w:rPr>
              <w:t>MHH</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center"/>
              <w:rPr>
                <w:b/>
              </w:rPr>
            </w:pPr>
            <w:r>
              <w:rPr>
                <w:b/>
              </w:rPr>
              <w:t>NYSE American</w:t>
            </w:r>
          </w:p>
        </w:tc>
      </w:tr>
    </w:tbl>
    <w:p>
      <w:pPr>
        <w:pStyle w:val="TextBody"/>
        <w:bidi w:val="0"/>
        <w:spacing w:before="8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80" w:after="0"/>
        <w:jc w:val="left"/>
        <w:rPr>
          <w:rFonts w:ascii="Times New Roman" w:hAnsi="Times New Roman"/>
          <w:sz w:val="20"/>
        </w:rPr>
      </w:pPr>
      <w:r>
        <w:rPr>
          <w:rFonts w:ascii="Times New Roman" w:hAnsi="Times New Roman"/>
          <w:sz w:val="20"/>
        </w:rPr>
        <w:t>S-T</w:t>
      </w:r>
    </w:p>
    <w:p>
      <w:pPr>
        <w:pStyle w:val="TextBody"/>
        <w:bidi w:val="0"/>
        <w:spacing w:before="8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Yes  ☒    No  ☐ </w:t>
      </w:r>
    </w:p>
    <w:p>
      <w:pPr>
        <w:pStyle w:val="TextBody"/>
        <w:bidi w:val="0"/>
        <w:spacing w:before="8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80" w:after="0"/>
        <w:jc w:val="left"/>
        <w:rPr>
          <w:rFonts w:ascii="Times New Roman" w:hAnsi="Times New Roman"/>
          <w:sz w:val="20"/>
        </w:rPr>
      </w:pPr>
      <w:r>
        <w:rPr>
          <w:rFonts w:ascii="Times New Roman" w:hAnsi="Times New Roman"/>
          <w:sz w:val="20"/>
        </w:rPr>
        <w:t>non-accelerated</w:t>
      </w:r>
    </w:p>
    <w:p>
      <w:pPr>
        <w:pStyle w:val="TextBody"/>
        <w:bidi w:val="0"/>
        <w:spacing w:before="8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w:t>
      </w:r>
    </w:p>
    <w:p>
      <w:pPr>
        <w:pStyle w:val="TextBody"/>
        <w:bidi w:val="0"/>
        <w:spacing w:before="80" w:after="0"/>
        <w:jc w:val="left"/>
        <w:rPr>
          <w:rFonts w:ascii="Times New Roman" w:hAnsi="Times New Roman"/>
          <w:sz w:val="20"/>
        </w:rPr>
      </w:pPr>
      <w:r>
        <w:rPr>
          <w:rFonts w:ascii="Times New Roman" w:hAnsi="Times New Roman"/>
          <w:sz w:val="20"/>
        </w:rPr>
        <w:t>Rule 12b-2</w:t>
      </w:r>
    </w:p>
    <w:p>
      <w:pPr>
        <w:pStyle w:val="TextBody"/>
        <w:bidi w:val="0"/>
        <w:spacing w:before="8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80" w:after="0"/>
        <w:jc w:val="left"/>
        <w:rPr>
          <w:rFonts w:ascii="Times New Roman" w:hAnsi="Times New Roman"/>
          <w:sz w:val="20"/>
        </w:rPr>
      </w:pPr>
      <w:r>
        <w:rPr>
          <w:rFonts w:ascii="Times New Roman" w:hAnsi="Times New Roman"/>
          <w:sz w:val="20"/>
        </w:rPr>
        <w:t xml:space="preserve">Indicate by check mark whether the registrant is a shell company (as defined in </w:t>
      </w:r>
    </w:p>
    <w:p>
      <w:pPr>
        <w:pStyle w:val="TextBody"/>
        <w:bidi w:val="0"/>
        <w:spacing w:before="80" w:after="0"/>
        <w:jc w:val="left"/>
        <w:rPr>
          <w:rFonts w:ascii="Times New Roman" w:hAnsi="Times New Roman"/>
          <w:sz w:val="20"/>
        </w:rPr>
      </w:pPr>
      <w:r>
        <w:rPr>
          <w:rFonts w:ascii="Times New Roman" w:hAnsi="Times New Roman"/>
          <w:sz w:val="20"/>
        </w:rPr>
        <w:t>Rule 12b-2</w:t>
      </w:r>
    </w:p>
    <w:p>
      <w:pPr>
        <w:pStyle w:val="TextBody"/>
        <w:bidi w:val="0"/>
        <w:spacing w:before="80" w:after="0"/>
        <w:jc w:val="left"/>
        <w:rPr>
          <w:rFonts w:ascii="Times New Roman" w:hAnsi="Times New Roman"/>
          <w:sz w:val="20"/>
        </w:rPr>
      </w:pPr>
      <w:r>
        <w:rPr>
          <w:rFonts w:ascii="Times New Roman" w:hAnsi="Times New Roman"/>
          <w:sz w:val="20"/>
        </w:rPr>
        <w:t xml:space="preserve">of the Exchange Act).    Yes  ☐    No  ☒ </w:t>
      </w:r>
    </w:p>
    <w:p>
      <w:pPr>
        <w:pStyle w:val="TextBody"/>
        <w:bidi w:val="0"/>
        <w:spacing w:before="80" w:after="0"/>
        <w:jc w:val="left"/>
        <w:rPr>
          <w:rFonts w:ascii="Times New Roman" w:hAnsi="Times New Roman"/>
          <w:sz w:val="20"/>
        </w:rPr>
      </w:pPr>
      <w:r>
        <w:rPr>
          <w:rFonts w:ascii="Times New Roman" w:hAnsi="Times New Roman"/>
          <w:sz w:val="20"/>
        </w:rPr>
        <w:t xml:space="preserve">The number of shares of the registrant’s Common Stock, par value $.01 per share, outstanding as of October 31, 2023 was 11,599,138.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MASTECH DIGITAL, INC. </w:t>
      </w:r>
    </w:p>
    <w:p>
      <w:pPr>
        <w:pStyle w:val="TextBody"/>
        <w:bidi w:val="0"/>
        <w:spacing w:before="0" w:after="0"/>
        <w:jc w:val="center"/>
        <w:rPr>
          <w:rFonts w:ascii="Times New Roman" w:hAnsi="Times New Roman"/>
          <w:b/>
          <w:sz w:val="20"/>
        </w:rPr>
      </w:pPr>
      <w:r>
        <w:rPr>
          <w:rFonts w:ascii="Times New Roman" w:hAnsi="Times New Roman"/>
          <w:b/>
          <w:sz w:val="20"/>
        </w:rPr>
        <w:t xml:space="preserve">QUARTERLY REPORT ON FORM 10-Q </w:t>
      </w:r>
    </w:p>
    <w:p>
      <w:pPr>
        <w:pStyle w:val="TextBody"/>
        <w:bidi w:val="0"/>
        <w:spacing w:before="0" w:after="0"/>
        <w:jc w:val="center"/>
        <w:rPr>
          <w:rFonts w:ascii="Times New Roman" w:hAnsi="Times New Roman"/>
          <w:b/>
          <w:sz w:val="20"/>
        </w:rPr>
      </w:pPr>
      <w:r>
        <w:rPr>
          <w:rFonts w:ascii="Times New Roman" w:hAnsi="Times New Roman"/>
          <w:b/>
          <w:sz w:val="20"/>
        </w:rPr>
        <w:t xml:space="preserve">FOR THE QUARTER ENDED SEPTEMBER 30, 2023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223"/>
        <w:gridCol w:w="120"/>
        <w:gridCol w:w="8426"/>
        <w:gridCol w:w="60"/>
        <w:gridCol w:w="96"/>
        <w:gridCol w:w="419"/>
        <w:gridCol w:w="76"/>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54" w:type="dxa"/>
            <w:gridSpan w:val="5"/>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 1</w:t>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1">
              <w:r>
                <w:rPr>
                  <w:rStyle w:val="InternetLink"/>
                  <w:rFonts w:ascii="Times New Roman" w:hAnsi="Times New Roman"/>
                  <w:sz w:val="20"/>
                </w:rPr>
                <w:t>FINANCIAL INFORMATION</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82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2">
              <w:r>
                <w:rPr>
                  <w:rStyle w:val="InternetLink"/>
                  <w:rFonts w:ascii="Times New Roman" w:hAnsi="Times New Roman"/>
                  <w:sz w:val="20"/>
                </w:rPr>
                <w:t>Financial Statements:</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c>
          <w:tcPr>
            <w:tcW w:w="8546" w:type="dxa"/>
            <w:gridSpan w:val="2"/>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0" w:type="dxa"/>
            <w:tcBorders/>
            <w:vAlign w:val="center"/>
          </w:tcPr>
          <w:p>
            <w:pPr>
              <w:pStyle w:val="TableContents"/>
              <w:bidi w:val="0"/>
              <w:spacing w:before="0" w:after="283"/>
              <w:jc w:val="left"/>
              <w:rPr/>
            </w:pPr>
            <w:r>
              <w:rPr/>
              <w:t>  </w:t>
            </w:r>
          </w:p>
        </w:tc>
        <w:tc>
          <w:tcPr>
            <w:tcW w:w="8426" w:type="dxa"/>
            <w:tcBorders/>
            <w:vAlign w:val="center"/>
          </w:tcPr>
          <w:p>
            <w:pPr>
              <w:pStyle w:val="TableContents"/>
              <w:bidi w:val="0"/>
              <w:spacing w:before="0" w:after="0"/>
              <w:jc w:val="left"/>
              <w:rPr/>
            </w:pPr>
            <w:hyperlink w:anchor="toc553855_3">
              <w:r>
                <w:rPr>
                  <w:rStyle w:val="InternetLink"/>
                  <w:rFonts w:ascii="Times New Roman" w:hAnsi="Times New Roman"/>
                  <w:sz w:val="20"/>
                </w:rPr>
                <w:t>Condensed Consolidated Statements of Operations (Unaudited) for the Three and Nine Months Ended September 30, 2023 and 2022</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c>
          <w:tcPr>
            <w:tcW w:w="8546" w:type="dxa"/>
            <w:gridSpan w:val="2"/>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0" w:type="dxa"/>
            <w:tcBorders/>
            <w:vAlign w:val="center"/>
          </w:tcPr>
          <w:p>
            <w:pPr>
              <w:pStyle w:val="TableContents"/>
              <w:bidi w:val="0"/>
              <w:spacing w:before="0" w:after="283"/>
              <w:jc w:val="left"/>
              <w:rPr/>
            </w:pPr>
            <w:r>
              <w:rPr/>
              <w:t>  </w:t>
            </w:r>
          </w:p>
        </w:tc>
        <w:tc>
          <w:tcPr>
            <w:tcW w:w="8426" w:type="dxa"/>
            <w:tcBorders/>
            <w:vAlign w:val="center"/>
          </w:tcPr>
          <w:p>
            <w:pPr>
              <w:pStyle w:val="TableContents"/>
              <w:bidi w:val="0"/>
              <w:spacing w:before="0" w:after="0"/>
              <w:jc w:val="left"/>
              <w:rPr/>
            </w:pPr>
            <w:hyperlink w:anchor="toc553855_4">
              <w:r>
                <w:rPr>
                  <w:rStyle w:val="InternetLink"/>
                  <w:rFonts w:ascii="Times New Roman" w:hAnsi="Times New Roman"/>
                  <w:sz w:val="20"/>
                </w:rPr>
                <w:t>Condensed Consolidated Statements of Comprehensive Income (Loss) (Unaudited) for the Three and Nine Months Ended September 30, 2023 and 2022</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c>
          <w:tcPr>
            <w:tcW w:w="8546" w:type="dxa"/>
            <w:gridSpan w:val="2"/>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20" w:type="dxa"/>
            <w:tcBorders/>
            <w:vAlign w:val="center"/>
          </w:tcPr>
          <w:p>
            <w:pPr>
              <w:pStyle w:val="TableContents"/>
              <w:bidi w:val="0"/>
              <w:spacing w:before="0" w:after="283"/>
              <w:jc w:val="left"/>
              <w:rPr/>
            </w:pPr>
            <w:r>
              <w:rPr/>
              <w:t>  </w:t>
            </w:r>
          </w:p>
        </w:tc>
        <w:tc>
          <w:tcPr>
            <w:tcW w:w="8426" w:type="dxa"/>
            <w:tcBorders/>
            <w:vAlign w:val="center"/>
          </w:tcPr>
          <w:p>
            <w:pPr>
              <w:pStyle w:val="TableContents"/>
              <w:bidi w:val="0"/>
              <w:spacing w:before="0" w:after="0"/>
              <w:jc w:val="left"/>
              <w:rPr/>
            </w:pPr>
            <w:hyperlink w:anchor="toc553855_5">
              <w:r>
                <w:rPr>
                  <w:rStyle w:val="InternetLink"/>
                  <w:rFonts w:ascii="Times New Roman" w:hAnsi="Times New Roman"/>
                  <w:sz w:val="20"/>
                </w:rPr>
                <w:t>Condensed Consolidated Balance Sheets (Unaudited) as of September 30, 2023 and December 31, 2022</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c>
          <w:tcPr>
            <w:tcW w:w="8546" w:type="dxa"/>
            <w:gridSpan w:val="2"/>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20" w:type="dxa"/>
            <w:tcBorders/>
            <w:vAlign w:val="center"/>
          </w:tcPr>
          <w:p>
            <w:pPr>
              <w:pStyle w:val="TableContents"/>
              <w:bidi w:val="0"/>
              <w:spacing w:before="0" w:after="283"/>
              <w:jc w:val="left"/>
              <w:rPr/>
            </w:pPr>
            <w:r>
              <w:rPr/>
              <w:t>  </w:t>
            </w:r>
          </w:p>
        </w:tc>
        <w:tc>
          <w:tcPr>
            <w:tcW w:w="8426" w:type="dxa"/>
            <w:tcBorders/>
            <w:vAlign w:val="center"/>
          </w:tcPr>
          <w:p>
            <w:pPr>
              <w:pStyle w:val="TableContents"/>
              <w:bidi w:val="0"/>
              <w:spacing w:before="0" w:after="0"/>
              <w:jc w:val="left"/>
              <w:rPr/>
            </w:pPr>
            <w:hyperlink w:anchor="toc553855_6">
              <w:r>
                <w:rPr>
                  <w:rStyle w:val="InternetLink"/>
                  <w:rFonts w:ascii="Times New Roman" w:hAnsi="Times New Roman"/>
                  <w:sz w:val="20"/>
                </w:rPr>
                <w:t>Condensed Consolidated Statements of Shareholders’ Equity (Unaudited) for the Three and Nine Months Ended September 30, 2023 and 2022</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c>
          <w:tcPr>
            <w:tcW w:w="8546" w:type="dxa"/>
            <w:gridSpan w:val="2"/>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w:t>
            </w:r>
          </w:p>
        </w:tc>
        <w:tc>
          <w:tcPr>
            <w:tcW w:w="120" w:type="dxa"/>
            <w:tcBorders/>
            <w:vAlign w:val="center"/>
          </w:tcPr>
          <w:p>
            <w:pPr>
              <w:pStyle w:val="TableContents"/>
              <w:bidi w:val="0"/>
              <w:spacing w:before="0" w:after="283"/>
              <w:jc w:val="left"/>
              <w:rPr/>
            </w:pPr>
            <w:r>
              <w:rPr/>
              <w:t>  </w:t>
            </w:r>
          </w:p>
        </w:tc>
        <w:tc>
          <w:tcPr>
            <w:tcW w:w="8426" w:type="dxa"/>
            <w:tcBorders/>
            <w:vAlign w:val="center"/>
          </w:tcPr>
          <w:p>
            <w:pPr>
              <w:pStyle w:val="TableContents"/>
              <w:bidi w:val="0"/>
              <w:spacing w:before="0" w:after="0"/>
              <w:jc w:val="left"/>
              <w:rPr/>
            </w:pPr>
            <w:hyperlink w:anchor="toc553855_7">
              <w:r>
                <w:rPr>
                  <w:rStyle w:val="InternetLink"/>
                  <w:rFonts w:ascii="Times New Roman" w:hAnsi="Times New Roman"/>
                  <w:sz w:val="20"/>
                </w:rPr>
                <w:t>Condensed Consolidated Statements of Cash Flows (Unaudited) for the Nine Months Ended September 30, 2023 and 2022</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c>
          <w:tcPr>
            <w:tcW w:w="8546" w:type="dxa"/>
            <w:gridSpan w:val="2"/>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w:t>
            </w:r>
          </w:p>
        </w:tc>
        <w:tc>
          <w:tcPr>
            <w:tcW w:w="120" w:type="dxa"/>
            <w:tcBorders/>
            <w:vAlign w:val="center"/>
          </w:tcPr>
          <w:p>
            <w:pPr>
              <w:pStyle w:val="TableContents"/>
              <w:bidi w:val="0"/>
              <w:spacing w:before="0" w:after="283"/>
              <w:jc w:val="left"/>
              <w:rPr/>
            </w:pPr>
            <w:r>
              <w:rPr/>
              <w:t>  </w:t>
            </w:r>
          </w:p>
        </w:tc>
        <w:tc>
          <w:tcPr>
            <w:tcW w:w="8426" w:type="dxa"/>
            <w:tcBorders/>
            <w:vAlign w:val="center"/>
          </w:tcPr>
          <w:p>
            <w:pPr>
              <w:pStyle w:val="TableContents"/>
              <w:bidi w:val="0"/>
              <w:spacing w:before="0" w:after="0"/>
              <w:jc w:val="left"/>
              <w:rPr/>
            </w:pPr>
            <w:hyperlink w:anchor="toc553855_8">
              <w:r>
                <w:rPr>
                  <w:rStyle w:val="InternetLink"/>
                  <w:rFonts w:ascii="Times New Roman" w:hAnsi="Times New Roman"/>
                  <w:sz w:val="20"/>
                </w:rPr>
                <w:t>Notes to Condensed Consolidated Financial Statements (Unaudited)</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82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9">
              <w:r>
                <w:rPr>
                  <w:rStyle w:val="InternetLink"/>
                  <w:rFonts w:ascii="Times New Roman" w:hAnsi="Times New Roman"/>
                  <w:sz w:val="20"/>
                </w:rPr>
                <w:t>Management’s Discussion and Analysis of Financial Condition and Results of Operations</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82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10">
              <w:r>
                <w:rPr>
                  <w:rStyle w:val="InternetLink"/>
                  <w:rFonts w:ascii="Times New Roman" w:hAnsi="Times New Roman"/>
                  <w:sz w:val="20"/>
                </w:rPr>
                <w:t>Quantitative and Qualitative Disclosures About Market Risk</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82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11">
              <w:r>
                <w:rPr>
                  <w:rStyle w:val="InternetLink"/>
                  <w:rFonts w:ascii="Times New Roman" w:hAnsi="Times New Roman"/>
                  <w:sz w:val="20"/>
                </w:rPr>
                <w:t>Controls and Procedures</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82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 II</w:t>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12">
              <w:r>
                <w:rPr>
                  <w:rStyle w:val="InternetLink"/>
                  <w:rFonts w:ascii="Times New Roman" w:hAnsi="Times New Roman"/>
                  <w:sz w:val="20"/>
                </w:rPr>
                <w:t>OTHER INFORMATION</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28</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82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13">
              <w:r>
                <w:rPr>
                  <w:rStyle w:val="InternetLink"/>
                  <w:rFonts w:ascii="Times New Roman" w:hAnsi="Times New Roman"/>
                  <w:sz w:val="20"/>
                </w:rPr>
                <w:t>Legal Proceedings</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28</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82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14">
              <w:r>
                <w:rPr>
                  <w:rStyle w:val="InternetLink"/>
                  <w:rFonts w:ascii="Times New Roman" w:hAnsi="Times New Roman"/>
                  <w:sz w:val="20"/>
                </w:rPr>
                <w:t>Risk Factors</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28</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82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15">
              <w:r>
                <w:rPr>
                  <w:rStyle w:val="InternetLink"/>
                  <w:rFonts w:ascii="Times New Roman" w:hAnsi="Times New Roman"/>
                  <w:sz w:val="20"/>
                </w:rPr>
                <w:t>Unregistered Sales of Equity Securities and Use of Proceeds</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28</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82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16">
              <w:r>
                <w:rPr>
                  <w:rStyle w:val="InternetLink"/>
                  <w:rFonts w:ascii="Times New Roman" w:hAnsi="Times New Roman"/>
                  <w:sz w:val="20"/>
                </w:rPr>
                <w:t>Exhibits</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29</w:t>
            </w:r>
          </w:p>
        </w:tc>
        <w:tc>
          <w:tcPr>
            <w:tcW w:w="7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8829"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69" w:type="dxa"/>
            <w:gridSpan w:val="3"/>
            <w:tcBorders/>
            <w:vAlign w:val="center"/>
          </w:tcPr>
          <w:p>
            <w:pPr>
              <w:pStyle w:val="TableContents"/>
              <w:bidi w:val="0"/>
              <w:spacing w:before="0" w:after="0"/>
              <w:jc w:val="left"/>
              <w:rPr/>
            </w:pPr>
            <w:hyperlink w:anchor="toc553855_17">
              <w:r>
                <w:rPr>
                  <w:rStyle w:val="InternetLink"/>
                  <w:rFonts w:ascii="Times New Roman" w:hAnsi="Times New Roman"/>
                  <w:sz w:val="20"/>
                </w:rPr>
                <w:t>SIGNATURES</w:t>
              </w:r>
            </w:hyperlink>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30</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PART I. 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pacing w:val="0"/>
        </w:rPr>
      </w:pPr>
      <w:r>
        <w:rPr>
          <w:spacing w:val="0"/>
        </w:rPr>
        <w:t> </w:t>
      </w:r>
    </w:p>
    <w:tbl>
      <w:tblPr>
        <w:tblW w:w="3460" w:type="dxa"/>
        <w:jc w:val="left"/>
        <w:tblInd w:w="0" w:type="dxa"/>
        <w:tblLayout w:type="fixed"/>
        <w:tblCellMar>
          <w:top w:w="0" w:type="dxa"/>
          <w:left w:w="0" w:type="dxa"/>
          <w:bottom w:w="0" w:type="dxa"/>
          <w:right w:w="0" w:type="dxa"/>
        </w:tblCellMar>
      </w:tblPr>
      <w:tblGrid>
        <w:gridCol w:w="920"/>
        <w:gridCol w:w="2540"/>
      </w:tblGrid>
      <w:tr>
        <w:trPr/>
        <w:tc>
          <w:tcPr>
            <w:tcW w:w="920" w:type="dxa"/>
            <w:tcBorders/>
            <w:vAlign w:val="center"/>
          </w:tcPr>
          <w:p>
            <w:pPr>
              <w:pStyle w:val="TableContents"/>
              <w:bidi w:val="0"/>
              <w:spacing w:before="0" w:after="0"/>
              <w:jc w:val="left"/>
              <w:rPr>
                <w:b/>
                <w:spacing w:val="0"/>
              </w:rPr>
            </w:pPr>
            <w:bookmarkStart w:id="3" w:name="toc553855_2"/>
            <w:bookmarkEnd w:id="3"/>
            <w:r>
              <w:rPr>
                <w:b/>
                <w:spacing w:val="0"/>
              </w:rPr>
              <w:t>ITEM 1.</w:t>
            </w:r>
          </w:p>
        </w:tc>
        <w:tc>
          <w:tcPr>
            <w:tcW w:w="25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FINANCIAL STATEMENTS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MASTECH DIGITAL,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OPERATIONS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except per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8910" w:type="dxa"/>
        <w:jc w:val="left"/>
        <w:tblInd w:w="0" w:type="dxa"/>
        <w:tblLayout w:type="fixed"/>
        <w:tblCellMar>
          <w:top w:w="0" w:type="dxa"/>
          <w:left w:w="0" w:type="dxa"/>
          <w:bottom w:w="0" w:type="dxa"/>
          <w:right w:w="0" w:type="dxa"/>
        </w:tblCellMar>
      </w:tblPr>
      <w:tblGrid>
        <w:gridCol w:w="4100"/>
        <w:gridCol w:w="120"/>
        <w:gridCol w:w="166"/>
        <w:gridCol w:w="810"/>
        <w:gridCol w:w="184"/>
        <w:gridCol w:w="71"/>
        <w:gridCol w:w="166"/>
        <w:gridCol w:w="813"/>
        <w:gridCol w:w="155"/>
        <w:gridCol w:w="60"/>
        <w:gridCol w:w="140"/>
        <w:gridCol w:w="800"/>
        <w:gridCol w:w="155"/>
        <w:gridCol w:w="60"/>
        <w:gridCol w:w="140"/>
        <w:gridCol w:w="800"/>
        <w:gridCol w:w="170"/>
      </w:tblGrid>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5" w:type="dxa"/>
            <w:gridSpan w:val="6"/>
            <w:tcBorders/>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spacing w:before="0" w:after="0"/>
              <w:jc w:val="center"/>
              <w:rPr>
                <w:b/>
                <w:spacing w:val="0"/>
              </w:rPr>
            </w:pPr>
            <w:r>
              <w:rPr>
                <w:b/>
                <w:spacing w:val="0"/>
              </w:rPr>
              <w:t>2023</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47,779</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63,150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155,046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185,022</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revenues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35,213</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46,863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115,354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136,057</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12,566</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16,287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48,965</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12,615</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12,930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38,937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38,753</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Employment-related claim, net of recoveries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12,615</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12,930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42,037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38,753</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(loss) from operations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(49</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3,357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10,212</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 (expense), net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148</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(326</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(expense), net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55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334</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(loss) before income taxes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154</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3,357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10,220</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expense (benefit)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29</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951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3,046</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(loss)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125</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2,406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7,174</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Earnings (loss) per share: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.01</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.62</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right"/>
              <w:rPr/>
            </w:pPr>
            <w:r>
              <w:rPr/>
              <w:t>.01</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813" w:type="dxa"/>
            <w:tcBorders/>
            <w:vAlign w:val="center"/>
          </w:tcPr>
          <w:p>
            <w:pPr>
              <w:pStyle w:val="TableContents"/>
              <w:bidi w:val="0"/>
              <w:spacing w:before="0" w:after="283"/>
              <w:jc w:val="right"/>
              <w:rPr/>
            </w:pPr>
            <w:r>
              <w:rPr/>
              <w:t>.20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.59</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common shares outstanding:</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11,597</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11,616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11,618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11,578</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Diluted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11,968</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12,084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12,082</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MASTECH DIGITAL,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COMPREHENSIVE INCOME (LOSS)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8905" w:type="dxa"/>
        <w:jc w:val="left"/>
        <w:tblInd w:w="0" w:type="dxa"/>
        <w:tblLayout w:type="fixed"/>
        <w:tblCellMar>
          <w:top w:w="0" w:type="dxa"/>
          <w:left w:w="0" w:type="dxa"/>
          <w:bottom w:w="0" w:type="dxa"/>
          <w:right w:w="0" w:type="dxa"/>
        </w:tblCellMar>
      </w:tblPr>
      <w:tblGrid>
        <w:gridCol w:w="4115"/>
        <w:gridCol w:w="120"/>
        <w:gridCol w:w="215"/>
        <w:gridCol w:w="585"/>
        <w:gridCol w:w="238"/>
        <w:gridCol w:w="92"/>
        <w:gridCol w:w="215"/>
        <w:gridCol w:w="865"/>
        <w:gridCol w:w="155"/>
        <w:gridCol w:w="60"/>
        <w:gridCol w:w="171"/>
        <w:gridCol w:w="779"/>
        <w:gridCol w:w="190"/>
        <w:gridCol w:w="73"/>
        <w:gridCol w:w="171"/>
        <w:gridCol w:w="691"/>
        <w:gridCol w:w="170"/>
      </w:tblGrid>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gridSpan w:val="6"/>
            <w:tcBorders/>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2023</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spacing w:val="0"/>
              </w:rPr>
            </w:pPr>
            <w:r>
              <w:rPr>
                <w:b/>
                <w:spacing w:val="0"/>
              </w:rPr>
              <w:t>2023</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(loss)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125</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2,406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(1,787</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7,174</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income (loss):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(88</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(235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(95</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(701</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comprehensive gain (loss), net of taxes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right"/>
              <w:rPr/>
            </w:pPr>
            <w:r>
              <w:rPr/>
              <w:t>(88</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right"/>
              <w:rPr/>
            </w:pPr>
            <w:r>
              <w:rPr/>
              <w:t>(235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right"/>
              <w:rPr/>
            </w:pPr>
            <w:r>
              <w:rPr/>
              <w:t>(95</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(701</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comprehensive income (loss)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37</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2,171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(1,882</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6,473</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MASTECH DIGITAL,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except share and per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880"/>
        <w:gridCol w:w="120"/>
        <w:gridCol w:w="213"/>
        <w:gridCol w:w="1226"/>
        <w:gridCol w:w="155"/>
        <w:gridCol w:w="60"/>
        <w:gridCol w:w="204"/>
        <w:gridCol w:w="1175"/>
        <w:gridCol w:w="172"/>
      </w:tblGrid>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9" w:type="dxa"/>
            <w:gridSpan w:val="2"/>
            <w:tcBorders/>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2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226" w:type="dxa"/>
            <w:tcBorders/>
            <w:shd w:fill="CCEEFF" w:val="clear"/>
            <w:vAlign w:val="center"/>
          </w:tcPr>
          <w:p>
            <w:pPr>
              <w:pStyle w:val="TableContents"/>
              <w:bidi w:val="0"/>
              <w:spacing w:before="0" w:after="283"/>
              <w:jc w:val="right"/>
              <w:rPr/>
            </w:pPr>
            <w:r>
              <w:rPr/>
              <w:t>15,881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7,057</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 net of allowance for uncollectible accounts of $515 in 2023 and $444 in 2022</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24,841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33,603</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Unbilled receivables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7,437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8,719</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Insurance recovery</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2,200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and other current assets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5,859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3,795</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56,218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53,174</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Equipment, enterprise software, and leasehold improvements, at cost:</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2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Equipment</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2,896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2,790</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Enterprise software</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4,185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4,185</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752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732</w:t>
            </w:r>
          </w:p>
        </w:tc>
        <w:tc>
          <w:tcPr>
            <w:tcW w:w="172" w:type="dxa"/>
            <w:tcBorders/>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7,833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7,707</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 accumulated depreciation and amortization</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(5,824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(5,042</w:t>
            </w:r>
          </w:p>
        </w:tc>
        <w:tc>
          <w:tcPr>
            <w:tcW w:w="172" w:type="dxa"/>
            <w:tcBorders/>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equipment, enterprise software, and leasehold improvements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2,009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2,665</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net</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4,418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3,886</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financing costs, net</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238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293</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456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578</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Goodwill, net of impairment</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32,510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32,510</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 net of amortization</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13,694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15,773</w:t>
            </w:r>
          </w:p>
        </w:tc>
        <w:tc>
          <w:tcPr>
            <w:tcW w:w="172" w:type="dxa"/>
            <w:tcBorders/>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226" w:type="dxa"/>
            <w:tcBorders/>
            <w:shd w:fill="CCEEFF" w:val="clear"/>
            <w:vAlign w:val="center"/>
          </w:tcPr>
          <w:p>
            <w:pPr>
              <w:pStyle w:val="TableContents"/>
              <w:bidi w:val="0"/>
              <w:spacing w:before="0" w:after="283"/>
              <w:jc w:val="right"/>
              <w:rPr/>
            </w:pPr>
            <w:r>
              <w:rPr/>
              <w:t>109,543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108,879</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AND SHAREHOLDERS’ EQUITY</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2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portion of long-term debt</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2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1,100</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4,842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4,475</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payroll and related costs</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12,270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11,085</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portion of operating lease liability</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1,318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1,504</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accrued liabilities</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864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1,186</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revenue</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19,704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19,557</w:t>
            </w:r>
          </w:p>
        </w:tc>
        <w:tc>
          <w:tcPr>
            <w:tcW w:w="172" w:type="dxa"/>
            <w:tcBorders/>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Long-term liabilities: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2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Long-term operating lease liability, less current portion</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3,054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2,294</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Long-term accrued income taxes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105</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income taxes</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516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920</w:t>
            </w:r>
          </w:p>
        </w:tc>
        <w:tc>
          <w:tcPr>
            <w:tcW w:w="172" w:type="dxa"/>
            <w:tcBorders/>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23,343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22,876</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contingent liabilities (Note 5)</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Shareholders’ equity:</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12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no par value; 20,000,000 shares authorized; none outstanding</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par value $.01; 100,000,000 shares authorized and 13,307,919 shares issued as of September 30, 2023 and 13,269,118 shares issued as of December 31, 2022</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133</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paid-in-capital</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34,710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32,059</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57,766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59,553</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other comprehensive income (loss)</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(1,650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(1,555</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Treasury stock, at cost; 1,708,781 shares as of September 30, 2023 and 1,646,420 shares as of December 31, 2022</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(4,759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(4,187</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shareholders’ equity</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86,200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86,003</w:t>
            </w:r>
          </w:p>
        </w:tc>
        <w:tc>
          <w:tcPr>
            <w:tcW w:w="172" w:type="dxa"/>
            <w:tcBorders/>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shareholders’ equity</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226" w:type="dxa"/>
            <w:tcBorders/>
            <w:shd w:fill="CCEEFF" w:val="clear"/>
            <w:vAlign w:val="center"/>
          </w:tcPr>
          <w:p>
            <w:pPr>
              <w:pStyle w:val="TableContents"/>
              <w:bidi w:val="0"/>
              <w:spacing w:before="0" w:after="283"/>
              <w:jc w:val="right"/>
              <w:rPr/>
            </w:pPr>
            <w:r>
              <w:rPr/>
              <w:t>109,543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108,879</w:t>
            </w:r>
          </w:p>
        </w:tc>
        <w:tc>
          <w:tcPr>
            <w:tcW w:w="172" w:type="dxa"/>
            <w:tcBorders/>
            <w:shd w:fill="CCEEFF" w:val="clear"/>
            <w:vAlign w:val="center"/>
          </w:tcPr>
          <w:p>
            <w:pPr>
              <w:pStyle w:val="TableContents"/>
              <w:bidi w:val="0"/>
              <w:spacing w:before="0" w:after="283"/>
              <w:jc w:val="left"/>
              <w:rPr/>
            </w:pPr>
            <w:r>
              <w:rPr/>
              <w:t> </w:t>
            </w:r>
          </w:p>
        </w:tc>
      </w:tr>
      <w:tr>
        <w:trPr/>
        <w:tc>
          <w:tcPr>
            <w:tcW w:w="6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MASTECH DIGITAL,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SHAREHOLDERS’ EQUITY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520"/>
        <w:gridCol w:w="120"/>
        <w:gridCol w:w="259"/>
        <w:gridCol w:w="706"/>
        <w:gridCol w:w="60"/>
        <w:gridCol w:w="120"/>
        <w:gridCol w:w="187"/>
        <w:gridCol w:w="913"/>
        <w:gridCol w:w="60"/>
        <w:gridCol w:w="120"/>
        <w:gridCol w:w="233"/>
        <w:gridCol w:w="1137"/>
        <w:gridCol w:w="155"/>
        <w:gridCol w:w="60"/>
        <w:gridCol w:w="174"/>
        <w:gridCol w:w="791"/>
        <w:gridCol w:w="155"/>
        <w:gridCol w:w="60"/>
        <w:gridCol w:w="290"/>
        <w:gridCol w:w="1320"/>
        <w:gridCol w:w="155"/>
        <w:gridCol w:w="60"/>
        <w:gridCol w:w="234"/>
        <w:gridCol w:w="1144"/>
        <w:gridCol w:w="172"/>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Common</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Retained</w:t>
            </w:r>
          </w:p>
          <w:p>
            <w:pPr>
              <w:pStyle w:val="TableContents"/>
              <w:bidi w:val="0"/>
              <w:spacing w:before="0" w:after="0"/>
              <w:jc w:val="center"/>
              <w:rPr/>
            </w:pPr>
            <w:r>
              <w:rPr/>
            </w:r>
          </w:p>
          <w:p>
            <w:pPr>
              <w:pStyle w:val="TableContents"/>
              <w:bidi w:val="0"/>
              <w:spacing w:before="0" w:after="0"/>
              <w:jc w:val="center"/>
              <w:rPr>
                <w:b/>
                <w:spacing w:val="0"/>
              </w:rPr>
            </w:pPr>
            <w:r>
              <w:rPr>
                <w:b/>
                <w:spacing w:val="0"/>
              </w:rPr>
              <w:t>Earnings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Treasury</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 (Loss)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Shareholders’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December 31, 2022</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32,059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59,553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(4,187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(1,555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86,003</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261</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gain, net of taxes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5</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835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835</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March 31, 2023</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32,894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59,814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(4,187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(1,550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87,104</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(2,173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(2,173</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common stock purchases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150</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net of taxes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(12</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842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842</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repurchased</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(572</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June 30, 2023</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33,886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57,641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(4,759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(1,562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85,339</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125</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net of taxes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(88</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824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824</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September 30, 2023</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34,710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57,766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(4,759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(1,650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86,200</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520"/>
        <w:gridCol w:w="120"/>
        <w:gridCol w:w="259"/>
        <w:gridCol w:w="706"/>
        <w:gridCol w:w="60"/>
        <w:gridCol w:w="120"/>
        <w:gridCol w:w="187"/>
        <w:gridCol w:w="913"/>
        <w:gridCol w:w="155"/>
        <w:gridCol w:w="60"/>
        <w:gridCol w:w="233"/>
        <w:gridCol w:w="1137"/>
        <w:gridCol w:w="60"/>
        <w:gridCol w:w="120"/>
        <w:gridCol w:w="174"/>
        <w:gridCol w:w="791"/>
        <w:gridCol w:w="155"/>
        <w:gridCol w:w="60"/>
        <w:gridCol w:w="290"/>
        <w:gridCol w:w="1320"/>
        <w:gridCol w:w="155"/>
        <w:gridCol w:w="60"/>
        <w:gridCol w:w="234"/>
        <w:gridCol w:w="1144"/>
        <w:gridCol w:w="172"/>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Common</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Retained</w:t>
            </w:r>
          </w:p>
          <w:p>
            <w:pPr>
              <w:pStyle w:val="TableContents"/>
              <w:bidi w:val="0"/>
              <w:spacing w:before="0" w:after="0"/>
              <w:jc w:val="center"/>
              <w:rPr/>
            </w:pPr>
            <w:r>
              <w:rPr/>
            </w:r>
          </w:p>
          <w:p>
            <w:pPr>
              <w:pStyle w:val="TableContents"/>
              <w:bidi w:val="0"/>
              <w:spacing w:before="0" w:after="0"/>
              <w:jc w:val="center"/>
              <w:rPr>
                <w:b/>
                <w:spacing w:val="0"/>
              </w:rPr>
            </w:pPr>
            <w:r>
              <w:rPr>
                <w:b/>
                <w:spacing w:val="0"/>
              </w:rPr>
              <w:t>Earnings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Treasury</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 (Loss)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Shareholders’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December 31, 2021</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131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28,250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50,841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(4,187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(607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74,428</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2,332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2,332</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net of taxes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(147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(147</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526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526</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 exercised</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891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893</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March 31, 2022</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133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29,667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53,173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791" w:type="dxa"/>
            <w:tcBorders/>
            <w:vAlign w:val="center"/>
          </w:tcPr>
          <w:p>
            <w:pPr>
              <w:pStyle w:val="TableContents"/>
              <w:bidi w:val="0"/>
              <w:spacing w:before="0" w:after="283"/>
              <w:jc w:val="right"/>
              <w:rPr/>
            </w:pPr>
            <w:r>
              <w:rPr/>
              <w:t>(4,187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1320" w:type="dxa"/>
            <w:tcBorders/>
            <w:vAlign w:val="center"/>
          </w:tcPr>
          <w:p>
            <w:pPr>
              <w:pStyle w:val="TableContents"/>
              <w:bidi w:val="0"/>
              <w:spacing w:before="0" w:after="283"/>
              <w:jc w:val="right"/>
              <w:rPr/>
            </w:pPr>
            <w:r>
              <w:rPr/>
              <w:t>(754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78,032</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2,436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2,436</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common stock purchases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199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199</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net of taxes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(319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(319</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752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752</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 exercised</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430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430</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June 30, 2022</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133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31,048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7" w:type="dxa"/>
            <w:tcBorders/>
            <w:vAlign w:val="center"/>
          </w:tcPr>
          <w:p>
            <w:pPr>
              <w:pStyle w:val="TableContents"/>
              <w:bidi w:val="0"/>
              <w:spacing w:before="0" w:after="283"/>
              <w:jc w:val="right"/>
              <w:rPr/>
            </w:pPr>
            <w:r>
              <w:rPr/>
              <w:t>55,609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791" w:type="dxa"/>
            <w:tcBorders/>
            <w:vAlign w:val="center"/>
          </w:tcPr>
          <w:p>
            <w:pPr>
              <w:pStyle w:val="TableContents"/>
              <w:bidi w:val="0"/>
              <w:spacing w:before="0" w:after="283"/>
              <w:jc w:val="right"/>
              <w:rPr/>
            </w:pPr>
            <w:r>
              <w:rPr/>
              <w:t>(4,187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1320" w:type="dxa"/>
            <w:tcBorders/>
            <w:vAlign w:val="center"/>
          </w:tcPr>
          <w:p>
            <w:pPr>
              <w:pStyle w:val="TableContents"/>
              <w:bidi w:val="0"/>
              <w:spacing w:before="0" w:after="283"/>
              <w:jc w:val="right"/>
              <w:rPr/>
            </w:pPr>
            <w:r>
              <w:rPr/>
              <w:t>(1,073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81,530</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2,406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2,406</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common stock purchases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(10</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net of taxes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(235</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776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776</w:t>
            </w:r>
          </w:p>
        </w:tc>
        <w:tc>
          <w:tcPr>
            <w:tcW w:w="17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September 30, 2022</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31,814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58,015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(4,187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(1,308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84,467</w:t>
            </w:r>
          </w:p>
        </w:tc>
        <w:tc>
          <w:tcPr>
            <w:tcW w:w="172"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MASTECH DIGITAL,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(Amounts in thousands)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9930" w:type="dxa"/>
        <w:jc w:val="left"/>
        <w:tblInd w:w="0" w:type="dxa"/>
        <w:tblLayout w:type="fixed"/>
        <w:tblCellMar>
          <w:top w:w="0" w:type="dxa"/>
          <w:left w:w="0" w:type="dxa"/>
          <w:bottom w:w="0" w:type="dxa"/>
          <w:right w:w="0" w:type="dxa"/>
        </w:tblCellMar>
      </w:tblPr>
      <w:tblGrid>
        <w:gridCol w:w="7565"/>
        <w:gridCol w:w="120"/>
        <w:gridCol w:w="150"/>
        <w:gridCol w:w="731"/>
        <w:gridCol w:w="166"/>
        <w:gridCol w:w="64"/>
        <w:gridCol w:w="150"/>
        <w:gridCol w:w="814"/>
        <w:gridCol w:w="170"/>
      </w:tblGrid>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6"/>
            <w:tcBorders/>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1" w:type="dxa"/>
            <w:gridSpan w:val="2"/>
            <w:tcBorders/>
            <w:vAlign w:val="center"/>
          </w:tcPr>
          <w:p>
            <w:pPr>
              <w:pStyle w:val="TableContents"/>
              <w:bidi w:val="0"/>
              <w:spacing w:before="0" w:after="0"/>
              <w:jc w:val="center"/>
              <w:rPr>
                <w:b/>
                <w:spacing w:val="0"/>
              </w:rPr>
            </w:pPr>
            <w:r>
              <w:rPr>
                <w:b/>
                <w:spacing w:val="0"/>
              </w:rPr>
              <w:t>2023</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ACTIVITIES: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(loss)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right"/>
              <w:rPr/>
            </w:pPr>
            <w:r>
              <w:rPr/>
              <w:t>(1,787</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14" w:type="dxa"/>
            <w:tcBorders/>
            <w:vAlign w:val="center"/>
          </w:tcPr>
          <w:p>
            <w:pPr>
              <w:pStyle w:val="TableContents"/>
              <w:bidi w:val="0"/>
              <w:spacing w:before="0" w:after="283"/>
              <w:jc w:val="right"/>
              <w:rPr/>
            </w:pPr>
            <w:r>
              <w:rPr/>
              <w:t>7,174</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income (loss) to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2,943</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3,251</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Bad debt expense</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50</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amortization of deferred financing costs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55</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55</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2,501</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2,054</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income taxes, net</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(405</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496</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assets and liabilities, net</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68</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(355</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disposition of fixed assets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1</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 term accrued income taxes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(36</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Working capital items: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 and unbilled receivables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10,044</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(7,097</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Insurance recovery</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(2,200</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and other current assets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(2,081</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57</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370</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877</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payroll and related costs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1,192</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1,388</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accrued liabilities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(323</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(192</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revenue</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203</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flows provided by (used in) operating activities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10,545</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7,744</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Recovery of (payment for)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119</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24</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 expenditures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(213</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(819</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flows provided by (used in) investing activities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(94</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(795</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(Repayments) on term loan facility</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(1,100</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(10,900</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the issuance of common shares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150</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189</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 of treasury stock</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(572</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the exercise of stock options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1,323</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flows provided by (used in) financing activities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(1,522</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(9,388</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exchange rate changes on cash and cash equivalents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(105</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(701</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change in cash and cash equivalents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8,824</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(3,140</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beginning of period</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7,057</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6,622</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end of period</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right"/>
              <w:rPr/>
            </w:pPr>
            <w:r>
              <w:rPr/>
              <w:t>15,881</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14" w:type="dxa"/>
            <w:tcBorders/>
            <w:vAlign w:val="center"/>
          </w:tcPr>
          <w:p>
            <w:pPr>
              <w:pStyle w:val="TableContents"/>
              <w:bidi w:val="0"/>
              <w:spacing w:before="0" w:after="283"/>
              <w:jc w:val="right"/>
              <w:rPr/>
            </w:pPr>
            <w:r>
              <w:rPr/>
              <w:t>3,482</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MASTECH DIGITAL,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CONDENSED CONSOLIDATED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SEPTEMBER 30, 2023 AND 2022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4480" w:type="dxa"/>
        <w:jc w:val="left"/>
        <w:tblInd w:w="0" w:type="dxa"/>
        <w:tblLayout w:type="fixed"/>
        <w:tblCellMar>
          <w:top w:w="0" w:type="dxa"/>
          <w:left w:w="0" w:type="dxa"/>
          <w:bottom w:w="0" w:type="dxa"/>
          <w:right w:w="0" w:type="dxa"/>
        </w:tblCellMar>
      </w:tblPr>
      <w:tblGrid>
        <w:gridCol w:w="215"/>
        <w:gridCol w:w="4265"/>
      </w:tblGrid>
      <w:tr>
        <w:trPr/>
        <w:tc>
          <w:tcPr>
            <w:tcW w:w="215" w:type="dxa"/>
            <w:tcBorders/>
            <w:vAlign w:val="center"/>
          </w:tcPr>
          <w:p>
            <w:pPr>
              <w:pStyle w:val="TableContents"/>
              <w:bidi w:val="0"/>
              <w:spacing w:before="0" w:after="0"/>
              <w:jc w:val="left"/>
              <w:rPr>
                <w:b/>
                <w:spacing w:val="0"/>
              </w:rPr>
            </w:pPr>
            <w:r>
              <w:rPr>
                <w:b/>
                <w:spacing w:val="0"/>
              </w:rPr>
              <w:t>1.</w:t>
            </w:r>
          </w:p>
        </w:tc>
        <w:tc>
          <w:tcPr>
            <w:tcW w:w="42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Description of Business and Basis of Presentation: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References in this Quarterly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to “we”, “our”, “Mastech Digital”, “Mastech” or “the Company” refer collectively to Mastech Digital, Inc. and its wholly owned operating subsidiaries, which are included in these Condensed Consolidated Financial Statements (the “Financial Statements”).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 provider of Digital Transformation IT Services to mostly large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medium-sized</w:t>
      </w:r>
    </w:p>
    <w:p>
      <w:pPr>
        <w:pStyle w:val="TextBody"/>
        <w:bidi w:val="0"/>
        <w:spacing w:before="120" w:after="0"/>
        <w:jc w:val="left"/>
        <w:rPr>
          <w:rFonts w:ascii="Times New Roman" w:hAnsi="Times New Roman"/>
          <w:sz w:val="20"/>
        </w:rPr>
      </w:pPr>
      <w:r>
        <w:rPr>
          <w:rFonts w:ascii="Times New Roman" w:hAnsi="Times New Roman"/>
          <w:sz w:val="20"/>
        </w:rPr>
        <w:t xml:space="preserve">organizations.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portfolio of offerings includes data management and analytics services, digital learning services and IT staffing services. </w:t>
      </w:r>
    </w:p>
    <w:p>
      <w:pPr>
        <w:pStyle w:val="TextBody"/>
        <w:bidi w:val="0"/>
        <w:spacing w:before="240" w:after="0"/>
        <w:jc w:val="left"/>
        <w:rPr>
          <w:rFonts w:ascii="Times New Roman" w:hAnsi="Times New Roman"/>
          <w:sz w:val="20"/>
        </w:rPr>
      </w:pPr>
      <w:r>
        <w:rPr>
          <w:rFonts w:ascii="Times New Roman" w:hAnsi="Times New Roman"/>
          <w:sz w:val="20"/>
        </w:rPr>
        <w:t xml:space="preserve">With our 2017 acquisition of the services division of Canada-based InfoTrellis, Inc.,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on-site</w:t>
      </w:r>
    </w:p>
    <w:p>
      <w:pPr>
        <w:pStyle w:val="TextBody"/>
        <w:bidi w:val="0"/>
        <w:spacing w:before="240" w:after="0"/>
        <w:jc w:val="left"/>
        <w:rPr>
          <w:rFonts w:ascii="Times New Roman" w:hAnsi="Times New Roman"/>
          <w:sz w:val="20"/>
        </w:rPr>
      </w:pPr>
      <w:r>
        <w:rPr>
          <w:rFonts w:ascii="Times New Roman" w:hAnsi="Times New Roman"/>
          <w:sz w:val="20"/>
        </w:rPr>
        <w:t xml:space="preserve">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IT staffing services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COVID-19</w:t>
      </w:r>
    </w:p>
    <w:p>
      <w:pPr>
        <w:pStyle w:val="TextBody"/>
        <w:bidi w:val="0"/>
        <w:spacing w:before="240" w:after="0"/>
        <w:jc w:val="left"/>
        <w:rPr>
          <w:rFonts w:ascii="Times New Roman" w:hAnsi="Times New Roman"/>
          <w:sz w:val="20"/>
        </w:rPr>
      </w:pPr>
      <w:r>
        <w:rPr>
          <w:rFonts w:ascii="Times New Roman" w:hAnsi="Times New Roman"/>
          <w:sz w:val="20"/>
        </w:rPr>
        <w:t xml:space="preserve">pandemic had a material impact on activity levels in both of our business segments in 2020. This impact was reduced in 2021 because of the global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roll-out</w:t>
      </w:r>
    </w:p>
    <w:p>
      <w:pPr>
        <w:pStyle w:val="TextBody"/>
        <w:bidi w:val="0"/>
        <w:spacing w:before="240" w:after="0"/>
        <w:jc w:val="left"/>
        <w:rPr>
          <w:rFonts w:ascii="Times New Roman" w:hAnsi="Times New Roman"/>
          <w:sz w:val="20"/>
        </w:rPr>
      </w:pPr>
      <w:r>
        <w:rPr>
          <w:rFonts w:ascii="Times New Roman" w:hAnsi="Times New Roman"/>
          <w:sz w:val="20"/>
        </w:rPr>
        <w:t xml:space="preserve">of vaccination programs and signs of improving economic conditions.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COVID-19-</w:t>
      </w:r>
    </w:p>
    <w:p>
      <w:pPr>
        <w:pStyle w:val="TextBody"/>
        <w:bidi w:val="0"/>
        <w:spacing w:before="240" w:after="0"/>
        <w:jc w:val="left"/>
        <w:rPr>
          <w:rFonts w:ascii="Times New Roman" w:hAnsi="Times New Roman"/>
          <w:sz w:val="20"/>
        </w:rPr>
      </w:pPr>
      <w:r>
        <w:rPr>
          <w:rFonts w:ascii="Times New Roman" w:hAnsi="Times New Roman"/>
          <w:sz w:val="20"/>
        </w:rPr>
        <w:t xml:space="preserve">related concerns were less impactful on our business in 2022. Still, the proliferation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COVID-19</w:t>
      </w:r>
    </w:p>
    <w:p>
      <w:pPr>
        <w:pStyle w:val="TextBody"/>
        <w:bidi w:val="0"/>
        <w:spacing w:before="240" w:after="0"/>
        <w:jc w:val="left"/>
        <w:rPr>
          <w:rFonts w:ascii="Times New Roman" w:hAnsi="Times New Roman"/>
          <w:sz w:val="20"/>
        </w:rPr>
      </w:pPr>
      <w:r>
        <w:rPr>
          <w:rFonts w:ascii="Times New Roman" w:hAnsi="Times New Roman"/>
          <w:sz w:val="20"/>
        </w:rPr>
        <w:t xml:space="preserve">variants has caused some uncertainty and could continue to disrupt global markets in 2023 and beyond.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2022, included in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filed with the SEC on March 27, 2023. Additionally, our operating results for the three and nine months ended September 30, 2023, are not necessarily indicative of the results that can be expected for the year ending December 31, 2023, or for any other period.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Principles of Consolidation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Financial Statements include the accounts of the Company and its wholly-owned subsidiaries. All material intercompany transactions and balances have been eliminated in consolidation.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Note 1 “Summary of Significant Accounting Policies” of the Consolidated Financial Statements and “Management’s Discussion and Analysis of Financial Condition and Results of Operations–Critical Accounting Policies and Estimates” in our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2022, for a more detailed discussion of our significant accounting policies and critical accounting estimates. There were no material changes to these critical accounting policies during the nine months ended September 30, 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two reportable segments, in accordance with Accounting Standards Committee (“ASC”) Topic 280 “Disclosures About Segments of an Enterprise and Related Information”: Data and Analytics Services and IT Staffing Services. </w:t>
      </w:r>
    </w:p>
    <w:p>
      <w:pPr>
        <w:pStyle w:val="TextBody"/>
        <w:bidi w:val="0"/>
        <w:spacing w:before="0" w:after="0"/>
        <w:jc w:val="left"/>
        <w:rPr>
          <w:spacing w:val="0"/>
        </w:rPr>
      </w:pPr>
      <w:r>
        <w:rPr>
          <w:spacing w:val="0"/>
        </w:rPr>
        <w:t> </w:t>
      </w:r>
    </w:p>
    <w:tbl>
      <w:tblPr>
        <w:tblW w:w="3700" w:type="dxa"/>
        <w:jc w:val="left"/>
        <w:tblInd w:w="0" w:type="dxa"/>
        <w:tblLayout w:type="fixed"/>
        <w:tblCellMar>
          <w:top w:w="0" w:type="dxa"/>
          <w:left w:w="0" w:type="dxa"/>
          <w:bottom w:w="0" w:type="dxa"/>
          <w:right w:w="0" w:type="dxa"/>
        </w:tblCellMar>
      </w:tblPr>
      <w:tblGrid>
        <w:gridCol w:w="215"/>
        <w:gridCol w:w="3485"/>
      </w:tblGrid>
      <w:tr>
        <w:trPr/>
        <w:tc>
          <w:tcPr>
            <w:tcW w:w="215" w:type="dxa"/>
            <w:tcBorders/>
            <w:vAlign w:val="center"/>
          </w:tcPr>
          <w:p>
            <w:pPr>
              <w:pStyle w:val="TableContents"/>
              <w:bidi w:val="0"/>
              <w:spacing w:before="0" w:after="0"/>
              <w:jc w:val="left"/>
              <w:rPr>
                <w:b/>
                <w:spacing w:val="0"/>
              </w:rPr>
            </w:pPr>
            <w:r>
              <w:rPr>
                <w:b/>
                <w:spacing w:val="0"/>
              </w:rPr>
              <w:t>2.</w:t>
            </w:r>
          </w:p>
        </w:tc>
        <w:tc>
          <w:tcPr>
            <w:tcW w:w="348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Revenue from Contracts with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time-and-material</w:t>
      </w:r>
    </w:p>
    <w:p>
      <w:pPr>
        <w:pStyle w:val="TextBody"/>
        <w:bidi w:val="0"/>
        <w:spacing w:before="120" w:after="0"/>
        <w:jc w:val="left"/>
        <w:rPr>
          <w:rFonts w:ascii="Times New Roman" w:hAnsi="Times New Roman"/>
          <w:sz w:val="20"/>
        </w:rPr>
      </w:pPr>
      <w:r>
        <w:rPr>
          <w:rFonts w:ascii="Times New Roman" w:hAnsi="Times New Roman"/>
          <w:sz w:val="20"/>
        </w:rPr>
        <w:t xml:space="preserve">contracts over time as services are performed and expenses are incurred.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Time-and-material</w:t>
      </w:r>
    </w:p>
    <w:p>
      <w:pPr>
        <w:pStyle w:val="TextBody"/>
        <w:bidi w:val="0"/>
        <w:spacing w:before="120" w:after="0"/>
        <w:jc w:val="left"/>
        <w:rPr>
          <w:rFonts w:ascii="Times New Roman" w:hAnsi="Times New Roman"/>
          <w:sz w:val="20"/>
        </w:rPr>
      </w:pPr>
      <w:r>
        <w:rPr>
          <w:rFonts w:ascii="Times New Roman" w:hAnsi="Times New Roman"/>
          <w:sz w:val="20"/>
        </w:rPr>
        <w:t xml:space="preserve">contracts typically bill at an agreed-upon hourly rate and also require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120" w:after="0"/>
        <w:jc w:val="left"/>
        <w:rPr>
          <w:rFonts w:ascii="Times New Roman" w:hAnsi="Times New Roman"/>
          <w:sz w:val="20"/>
        </w:rPr>
      </w:pPr>
      <w:r>
        <w:rPr>
          <w:rFonts w:ascii="Times New Roman" w:hAnsi="Times New Roman"/>
          <w:sz w:val="20"/>
        </w:rPr>
        <w:t xml:space="preserve">expense reimbursement.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120" w:after="0"/>
        <w:jc w:val="left"/>
        <w:rPr>
          <w:rFonts w:ascii="Times New Roman" w:hAnsi="Times New Roman"/>
          <w:sz w:val="20"/>
        </w:rPr>
      </w:pPr>
      <w:r>
        <w:rPr>
          <w:rFonts w:ascii="Times New Roman" w:hAnsi="Times New Roman"/>
          <w:sz w:val="20"/>
        </w:rPr>
        <w:t xml:space="preserve">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time-and-material</w:t>
      </w:r>
    </w:p>
    <w:p>
      <w:pPr>
        <w:pStyle w:val="TextBody"/>
        <w:bidi w:val="0"/>
        <w:spacing w:before="240" w:after="0"/>
        <w:jc w:val="left"/>
        <w:rPr>
          <w:rFonts w:ascii="Times New Roman" w:hAnsi="Times New Roman"/>
          <w:sz w:val="20"/>
        </w:rPr>
      </w:pPr>
      <w:r>
        <w:rPr>
          <w:rFonts w:ascii="Times New Roman" w:hAnsi="Times New Roman"/>
          <w:sz w:val="20"/>
        </w:rPr>
        <w:t xml:space="preserve">and fixed price revenue streams are recognized over time as the customer receives and consumes the benefits of the Company’s performance as the work is performed.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certain situations related to client direct hire assignments, where the Company’s fee is contingent upon the hired resources continued employment with the client, revenue is not fully recognized until such employment conditions are satisfied.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and marketing expenses.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Each contract the Company enters into is assessed to determine the promised services to be performed and includes identification of the performance obligations required by the contract. In substantially all our contracts, we have identified a single performance obligation for each contract either because the promised services are distinct or the promised services are highly interrelated and interdependent and, therefore, represent a combined single performance obligation.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Data and Analytics Services segment provides specialized capabilities in delivering data management and analytics services to its customers. This business offers project-based consulting services in the areas of Master Data Management, Enterprise Data Integration, Data Engineering and Analytics, all of which can be delivered using onsite and offshore resources. </w:t>
      </w:r>
    </w:p>
    <w:p>
      <w:pPr>
        <w:pStyle w:val="TextBody"/>
        <w:bidi w:val="0"/>
        <w:spacing w:before="240" w:after="0"/>
        <w:jc w:val="left"/>
        <w:rPr>
          <w:rFonts w:ascii="Times New Roman" w:hAnsi="Times New Roman"/>
          <w:sz w:val="20"/>
        </w:rPr>
      </w:pPr>
      <w:r>
        <w:rPr>
          <w:rFonts w:ascii="Times New Roman" w:hAnsi="Times New Roman"/>
          <w:sz w:val="20"/>
        </w:rPr>
        <w:t xml:space="preserve">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e-Business</w:t>
      </w:r>
    </w:p>
    <w:p>
      <w:pPr>
        <w:pStyle w:val="TextBody"/>
        <w:bidi w:val="0"/>
        <w:spacing w:before="240" w:after="0"/>
        <w:jc w:val="left"/>
        <w:rPr>
          <w:rFonts w:ascii="Times New Roman" w:hAnsi="Times New Roman"/>
          <w:sz w:val="20"/>
        </w:rPr>
      </w:pPr>
      <w:r>
        <w:rPr>
          <w:rFonts w:ascii="Times New Roman" w:hAnsi="Times New Roman"/>
          <w:sz w:val="20"/>
        </w:rPr>
        <w:t xml:space="preserve">solutions. We work with businesses and institutions with significant IT spend and recurring staffing needs. We also support smaller organizations with their “project focused” temporary IT staffing requirements.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depicts the disaggregation of our revenues by contract type and operating segment: </w:t>
      </w:r>
    </w:p>
    <w:p>
      <w:pPr>
        <w:pStyle w:val="TextBody"/>
        <w:bidi w:val="0"/>
        <w:spacing w:before="0" w:after="0"/>
        <w:jc w:val="left"/>
        <w:rPr>
          <w:spacing w:val="0"/>
        </w:rPr>
      </w:pPr>
      <w:r>
        <w:rPr>
          <w:spacing w:val="0"/>
        </w:rPr>
        <w:t> </w:t>
      </w:r>
    </w:p>
    <w:tbl>
      <w:tblPr>
        <w:tblW w:w="8425" w:type="dxa"/>
        <w:jc w:val="left"/>
        <w:tblInd w:w="0" w:type="dxa"/>
        <w:tblLayout w:type="fixed"/>
        <w:tblCellMar>
          <w:top w:w="0" w:type="dxa"/>
          <w:left w:w="0" w:type="dxa"/>
          <w:bottom w:w="0" w:type="dxa"/>
          <w:right w:w="0" w:type="dxa"/>
        </w:tblCellMar>
      </w:tblPr>
      <w:tblGrid>
        <w:gridCol w:w="3155"/>
        <w:gridCol w:w="120"/>
        <w:gridCol w:w="187"/>
        <w:gridCol w:w="913"/>
        <w:gridCol w:w="79"/>
        <w:gridCol w:w="159"/>
        <w:gridCol w:w="187"/>
        <w:gridCol w:w="921"/>
        <w:gridCol w:w="60"/>
        <w:gridCol w:w="120"/>
        <w:gridCol w:w="166"/>
        <w:gridCol w:w="950"/>
        <w:gridCol w:w="70"/>
        <w:gridCol w:w="141"/>
        <w:gridCol w:w="166"/>
        <w:gridCol w:w="956"/>
        <w:gridCol w:w="75"/>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9" w:type="dxa"/>
            <w:gridSpan w:val="6"/>
            <w:tcBorders/>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2023</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0"/>
              <w:jc w:val="center"/>
              <w:rPr>
                <w:b/>
                <w:spacing w:val="0"/>
              </w:rPr>
            </w:pPr>
            <w:r>
              <w:rPr>
                <w:b/>
                <w:spacing w:val="0"/>
              </w:rPr>
              <w:t>2023</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22" w:type="dxa"/>
            <w:gridSpan w:val="2"/>
            <w:tcBorders/>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2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(Amounts 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9" w:type="dxa"/>
            <w:gridSpan w:val="6"/>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Data and Analytics Services Segment</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9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Time-and-material</w:t>
            </w:r>
          </w:p>
          <w:p>
            <w:pPr>
              <w:pStyle w:val="TableContents"/>
              <w:bidi w:val="0"/>
              <w:spacing w:before="0" w:after="0"/>
              <w:jc w:val="left"/>
              <w:rPr>
                <w:rFonts w:ascii="Times New Roman" w:hAnsi="Times New Roman"/>
                <w:sz w:val="20"/>
              </w:rPr>
            </w:pPr>
            <w:r>
              <w:rPr>
                <w:rFonts w:ascii="Times New Roman" w:hAnsi="Times New Roman"/>
                <w:sz w:val="20"/>
              </w:rPr>
              <w:t>Contracts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5,888</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21" w:type="dxa"/>
            <w:tcBorders/>
            <w:vAlign w:val="center"/>
          </w:tcPr>
          <w:p>
            <w:pPr>
              <w:pStyle w:val="TableContents"/>
              <w:bidi w:val="0"/>
              <w:spacing w:before="0" w:after="283"/>
              <w:jc w:val="right"/>
              <w:rPr/>
            </w:pPr>
            <w:r>
              <w:rPr/>
              <w:t>6,524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19,027</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56" w:type="dxa"/>
            <w:tcBorders/>
            <w:vAlign w:val="center"/>
          </w:tcPr>
          <w:p>
            <w:pPr>
              <w:pStyle w:val="TableContents"/>
              <w:bidi w:val="0"/>
              <w:spacing w:before="0" w:after="283"/>
              <w:jc w:val="right"/>
              <w:rPr/>
            </w:pPr>
            <w:r>
              <w:rPr/>
              <w:t>19,568</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Fixed-price Contracts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2,150</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3,552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7,179</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11,910</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Subtotal Data and Analytics Services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13" w:type="dxa"/>
            <w:tcBorders/>
            <w:vAlign w:val="center"/>
          </w:tcPr>
          <w:p>
            <w:pPr>
              <w:pStyle w:val="TableContents"/>
              <w:bidi w:val="0"/>
              <w:spacing w:before="0" w:after="0"/>
              <w:jc w:val="right"/>
              <w:rPr>
                <w:b/>
                <w:spacing w:val="0"/>
              </w:rPr>
            </w:pPr>
            <w:r>
              <w:rPr>
                <w:b/>
                <w:spacing w:val="0"/>
              </w:rPr>
              <w:t>8,038</w:t>
            </w:r>
          </w:p>
        </w:tc>
        <w:tc>
          <w:tcPr>
            <w:tcW w:w="79" w:type="dxa"/>
            <w:tcBorders/>
            <w:vAlign w:val="center"/>
          </w:tcPr>
          <w:p>
            <w:pPr>
              <w:pStyle w:val="TableContents"/>
              <w:bidi w:val="0"/>
              <w:spacing w:before="0" w:after="0"/>
              <w:jc w:val="left"/>
              <w:rPr>
                <w:spacing w:val="0"/>
              </w:rPr>
            </w:pPr>
            <w:r>
              <w:rPr>
                <w:spacing w:val="0"/>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21" w:type="dxa"/>
            <w:tcBorders/>
            <w:vAlign w:val="center"/>
          </w:tcPr>
          <w:p>
            <w:pPr>
              <w:pStyle w:val="TableContents"/>
              <w:bidi w:val="0"/>
              <w:spacing w:before="0" w:after="0"/>
              <w:jc w:val="right"/>
              <w:rPr>
                <w:b/>
                <w:spacing w:val="0"/>
              </w:rPr>
            </w:pPr>
            <w:r>
              <w:rPr>
                <w:b/>
                <w:spacing w:val="0"/>
              </w:rPr>
              <w:t>10,076</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spacing w:val="0"/>
              </w:rPr>
            </w:pPr>
            <w:r>
              <w:rPr>
                <w:b/>
                <w:spacing w:val="0"/>
              </w:rPr>
              <w:t>$</w:t>
            </w:r>
          </w:p>
        </w:tc>
        <w:tc>
          <w:tcPr>
            <w:tcW w:w="950" w:type="dxa"/>
            <w:tcBorders/>
            <w:vAlign w:val="center"/>
          </w:tcPr>
          <w:p>
            <w:pPr>
              <w:pStyle w:val="TableContents"/>
              <w:bidi w:val="0"/>
              <w:spacing w:before="0" w:after="0"/>
              <w:jc w:val="right"/>
              <w:rPr>
                <w:b/>
                <w:spacing w:val="0"/>
              </w:rPr>
            </w:pPr>
            <w:r>
              <w:rPr>
                <w:b/>
                <w:spacing w:val="0"/>
              </w:rPr>
              <w:t>26,206</w:t>
            </w:r>
          </w:p>
        </w:tc>
        <w:tc>
          <w:tcPr>
            <w:tcW w:w="7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spacing w:val="0"/>
              </w:rPr>
            </w:pPr>
            <w:r>
              <w:rPr>
                <w:b/>
                <w:spacing w:val="0"/>
              </w:rPr>
              <w:t>$</w:t>
            </w:r>
          </w:p>
        </w:tc>
        <w:tc>
          <w:tcPr>
            <w:tcW w:w="956" w:type="dxa"/>
            <w:tcBorders/>
            <w:vAlign w:val="center"/>
          </w:tcPr>
          <w:p>
            <w:pPr>
              <w:pStyle w:val="TableContents"/>
              <w:bidi w:val="0"/>
              <w:spacing w:before="0" w:after="0"/>
              <w:jc w:val="right"/>
              <w:rPr>
                <w:b/>
                <w:spacing w:val="0"/>
              </w:rPr>
            </w:pPr>
            <w:r>
              <w:rPr>
                <w:b/>
                <w:spacing w:val="0"/>
              </w:rPr>
              <w:t>31,478</w:t>
            </w:r>
          </w:p>
        </w:tc>
        <w:tc>
          <w:tcPr>
            <w:tcW w:w="75" w:type="dxa"/>
            <w:tcBorders/>
            <w:vAlign w:val="center"/>
          </w:tcPr>
          <w:p>
            <w:pPr>
              <w:pStyle w:val="TableContents"/>
              <w:bidi w:val="0"/>
              <w:spacing w:before="0" w:after="0"/>
              <w:jc w:val="left"/>
              <w:rPr>
                <w:spacing w:val="0"/>
              </w:rPr>
            </w:pPr>
            <w:r>
              <w:rPr>
                <w:spacing w:val="0"/>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IT Staffing Services Segment</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9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Time-and-material</w:t>
            </w:r>
          </w:p>
          <w:p>
            <w:pPr>
              <w:pStyle w:val="TableContents"/>
              <w:bidi w:val="0"/>
              <w:spacing w:before="0" w:after="0"/>
              <w:jc w:val="left"/>
              <w:rPr>
                <w:rFonts w:ascii="Times New Roman" w:hAnsi="Times New Roman"/>
                <w:sz w:val="20"/>
              </w:rPr>
            </w:pPr>
            <w:r>
              <w:rPr>
                <w:rFonts w:ascii="Times New Roman" w:hAnsi="Times New Roman"/>
                <w:sz w:val="20"/>
              </w:rPr>
              <w:t>Contracts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39,741</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21" w:type="dxa"/>
            <w:tcBorders/>
            <w:vAlign w:val="center"/>
          </w:tcPr>
          <w:p>
            <w:pPr>
              <w:pStyle w:val="TableContents"/>
              <w:bidi w:val="0"/>
              <w:spacing w:before="0" w:after="283"/>
              <w:jc w:val="right"/>
              <w:rPr/>
            </w:pPr>
            <w:r>
              <w:rPr/>
              <w:t>53,074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128,840</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56" w:type="dxa"/>
            <w:tcBorders/>
            <w:vAlign w:val="center"/>
          </w:tcPr>
          <w:p>
            <w:pPr>
              <w:pStyle w:val="TableContents"/>
              <w:bidi w:val="0"/>
              <w:spacing w:before="0" w:after="283"/>
              <w:jc w:val="right"/>
              <w:rPr/>
            </w:pPr>
            <w:r>
              <w:rPr/>
              <w:t>153,544</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Fixed-price Contracts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Subtotal IT Staffing Services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13" w:type="dxa"/>
            <w:tcBorders/>
            <w:vAlign w:val="center"/>
          </w:tcPr>
          <w:p>
            <w:pPr>
              <w:pStyle w:val="TableContents"/>
              <w:bidi w:val="0"/>
              <w:spacing w:before="0" w:after="0"/>
              <w:jc w:val="right"/>
              <w:rPr>
                <w:b/>
                <w:spacing w:val="0"/>
              </w:rPr>
            </w:pPr>
            <w:r>
              <w:rPr>
                <w:b/>
                <w:spacing w:val="0"/>
              </w:rPr>
              <w:t>39,741</w:t>
            </w:r>
          </w:p>
        </w:tc>
        <w:tc>
          <w:tcPr>
            <w:tcW w:w="79" w:type="dxa"/>
            <w:tcBorders/>
            <w:vAlign w:val="center"/>
          </w:tcPr>
          <w:p>
            <w:pPr>
              <w:pStyle w:val="TableContents"/>
              <w:bidi w:val="0"/>
              <w:spacing w:before="0" w:after="0"/>
              <w:jc w:val="left"/>
              <w:rPr>
                <w:spacing w:val="0"/>
              </w:rPr>
            </w:pPr>
            <w:r>
              <w:rPr>
                <w:spacing w:val="0"/>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21" w:type="dxa"/>
            <w:tcBorders/>
            <w:vAlign w:val="center"/>
          </w:tcPr>
          <w:p>
            <w:pPr>
              <w:pStyle w:val="TableContents"/>
              <w:bidi w:val="0"/>
              <w:spacing w:before="0" w:after="0"/>
              <w:jc w:val="right"/>
              <w:rPr>
                <w:b/>
                <w:spacing w:val="0"/>
              </w:rPr>
            </w:pPr>
            <w:r>
              <w:rPr>
                <w:b/>
                <w:spacing w:val="0"/>
              </w:rPr>
              <w:t>53,074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spacing w:val="0"/>
              </w:rPr>
            </w:pPr>
            <w:r>
              <w:rPr>
                <w:b/>
                <w:spacing w:val="0"/>
              </w:rPr>
              <w:t>$</w:t>
            </w:r>
          </w:p>
        </w:tc>
        <w:tc>
          <w:tcPr>
            <w:tcW w:w="950" w:type="dxa"/>
            <w:tcBorders/>
            <w:vAlign w:val="center"/>
          </w:tcPr>
          <w:p>
            <w:pPr>
              <w:pStyle w:val="TableContents"/>
              <w:bidi w:val="0"/>
              <w:spacing w:before="0" w:after="0"/>
              <w:jc w:val="right"/>
              <w:rPr>
                <w:b/>
                <w:spacing w:val="0"/>
              </w:rPr>
            </w:pPr>
            <w:r>
              <w:rPr>
                <w:b/>
                <w:spacing w:val="0"/>
              </w:rPr>
              <w:t>128,840</w:t>
            </w:r>
          </w:p>
        </w:tc>
        <w:tc>
          <w:tcPr>
            <w:tcW w:w="7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spacing w:val="0"/>
              </w:rPr>
            </w:pPr>
            <w:r>
              <w:rPr>
                <w:b/>
                <w:spacing w:val="0"/>
              </w:rPr>
              <w:t>$</w:t>
            </w:r>
          </w:p>
        </w:tc>
        <w:tc>
          <w:tcPr>
            <w:tcW w:w="956" w:type="dxa"/>
            <w:tcBorders/>
            <w:vAlign w:val="center"/>
          </w:tcPr>
          <w:p>
            <w:pPr>
              <w:pStyle w:val="TableContents"/>
              <w:bidi w:val="0"/>
              <w:spacing w:before="0" w:after="0"/>
              <w:jc w:val="right"/>
              <w:rPr>
                <w:b/>
                <w:spacing w:val="0"/>
              </w:rPr>
            </w:pPr>
            <w:r>
              <w:rPr>
                <w:b/>
                <w:spacing w:val="0"/>
              </w:rPr>
              <w:t>153,544</w:t>
            </w:r>
          </w:p>
        </w:tc>
        <w:tc>
          <w:tcPr>
            <w:tcW w:w="75" w:type="dxa"/>
            <w:tcBorders/>
            <w:vAlign w:val="center"/>
          </w:tcPr>
          <w:p>
            <w:pPr>
              <w:pStyle w:val="TableContents"/>
              <w:bidi w:val="0"/>
              <w:spacing w:before="0" w:after="0"/>
              <w:jc w:val="left"/>
              <w:rPr>
                <w:spacing w:val="0"/>
              </w:rPr>
            </w:pPr>
            <w:r>
              <w:rPr>
                <w:spacing w:val="0"/>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Revenues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0"/>
              <w:jc w:val="left"/>
              <w:rPr>
                <w:b/>
                <w:spacing w:val="0"/>
              </w:rPr>
            </w:pPr>
            <w:r>
              <w:rPr>
                <w:b/>
                <w:spacing w:val="0"/>
              </w:rPr>
              <w:t>$</w:t>
            </w:r>
          </w:p>
        </w:tc>
        <w:tc>
          <w:tcPr>
            <w:tcW w:w="913" w:type="dxa"/>
            <w:tcBorders/>
            <w:shd w:fill="CCEEFF" w:val="clear"/>
            <w:vAlign w:val="center"/>
          </w:tcPr>
          <w:p>
            <w:pPr>
              <w:pStyle w:val="TableContents"/>
              <w:bidi w:val="0"/>
              <w:spacing w:before="0" w:after="0"/>
              <w:jc w:val="right"/>
              <w:rPr>
                <w:b/>
                <w:spacing w:val="0"/>
              </w:rPr>
            </w:pPr>
            <w:r>
              <w:rPr>
                <w:b/>
                <w:spacing w:val="0"/>
              </w:rPr>
              <w:t>47,779</w:t>
            </w:r>
          </w:p>
        </w:tc>
        <w:tc>
          <w:tcPr>
            <w:tcW w:w="79" w:type="dxa"/>
            <w:tcBorders/>
            <w:shd w:fill="CCEEFF" w:val="clear"/>
            <w:vAlign w:val="center"/>
          </w:tcPr>
          <w:p>
            <w:pPr>
              <w:pStyle w:val="TableContents"/>
              <w:bidi w:val="0"/>
              <w:spacing w:before="0" w:after="0"/>
              <w:jc w:val="left"/>
              <w:rPr>
                <w:spacing w:val="0"/>
              </w:rPr>
            </w:pPr>
            <w:r>
              <w:rPr>
                <w:spacing w:val="0"/>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0"/>
              <w:jc w:val="left"/>
              <w:rPr>
                <w:b/>
                <w:spacing w:val="0"/>
              </w:rPr>
            </w:pPr>
            <w:r>
              <w:rPr>
                <w:b/>
                <w:spacing w:val="0"/>
              </w:rPr>
              <w:t>$</w:t>
            </w:r>
          </w:p>
        </w:tc>
        <w:tc>
          <w:tcPr>
            <w:tcW w:w="921" w:type="dxa"/>
            <w:tcBorders/>
            <w:shd w:fill="CCEEFF" w:val="clear"/>
            <w:vAlign w:val="center"/>
          </w:tcPr>
          <w:p>
            <w:pPr>
              <w:pStyle w:val="TableContents"/>
              <w:bidi w:val="0"/>
              <w:spacing w:before="0" w:after="0"/>
              <w:jc w:val="right"/>
              <w:rPr>
                <w:b/>
                <w:spacing w:val="0"/>
              </w:rPr>
            </w:pPr>
            <w:r>
              <w:rPr>
                <w:b/>
                <w:spacing w:val="0"/>
              </w:rPr>
              <w:t>63,150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b/>
                <w:spacing w:val="0"/>
              </w:rPr>
            </w:pPr>
            <w:r>
              <w:rPr>
                <w:b/>
                <w:spacing w:val="0"/>
              </w:rPr>
              <w:t>$</w:t>
            </w:r>
          </w:p>
        </w:tc>
        <w:tc>
          <w:tcPr>
            <w:tcW w:w="950" w:type="dxa"/>
            <w:tcBorders/>
            <w:shd w:fill="CCEEFF" w:val="clear"/>
            <w:vAlign w:val="center"/>
          </w:tcPr>
          <w:p>
            <w:pPr>
              <w:pStyle w:val="TableContents"/>
              <w:bidi w:val="0"/>
              <w:spacing w:before="0" w:after="0"/>
              <w:jc w:val="right"/>
              <w:rPr>
                <w:b/>
                <w:spacing w:val="0"/>
              </w:rPr>
            </w:pPr>
            <w:r>
              <w:rPr>
                <w:b/>
                <w:spacing w:val="0"/>
              </w:rPr>
              <w:t>155,046</w:t>
            </w:r>
          </w:p>
        </w:tc>
        <w:tc>
          <w:tcPr>
            <w:tcW w:w="7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b/>
                <w:spacing w:val="0"/>
              </w:rPr>
            </w:pPr>
            <w:r>
              <w:rPr>
                <w:b/>
                <w:spacing w:val="0"/>
              </w:rPr>
              <w:t>$</w:t>
            </w:r>
          </w:p>
        </w:tc>
        <w:tc>
          <w:tcPr>
            <w:tcW w:w="956" w:type="dxa"/>
            <w:tcBorders/>
            <w:shd w:fill="CCEEFF" w:val="clear"/>
            <w:vAlign w:val="center"/>
          </w:tcPr>
          <w:p>
            <w:pPr>
              <w:pStyle w:val="TableContents"/>
              <w:bidi w:val="0"/>
              <w:spacing w:before="0" w:after="0"/>
              <w:jc w:val="right"/>
              <w:rPr>
                <w:b/>
                <w:spacing w:val="0"/>
              </w:rPr>
            </w:pPr>
            <w:r>
              <w:rPr>
                <w:b/>
                <w:spacing w:val="0"/>
              </w:rPr>
              <w:t>185,022</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three months ended September 30, 2023, the Company had one client (CGI =21.1%) that exceeded 10% of total revenues. For the nine months ended September 30, 2023, the Company had the same one client (CGI = 23.7%) that exceeded 10% of total revenues. For the three months ended September 30, 2022, the Company had one client (CGI =23.7%) that exceeded 10% of total revenues. For the nine months ended September 30, 2022, the Company had the same one client (CGI = 21.3%) that exceeded 10% of total revenues.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top ten clients represented approximately 52% and 54% of total revenues for the three months ended September 30, 2023 and 2022, respectively. For the nine months ended September 30, 2023 and 2022, the Company’s top ten clients represented approximately 54% and 53% of total revenues,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presents our revenue from external customers disaggregated by geography, based on the work location of our customers: </w:t>
      </w:r>
    </w:p>
    <w:p>
      <w:pPr>
        <w:pStyle w:val="TextBody"/>
        <w:bidi w:val="0"/>
        <w:spacing w:before="0" w:after="0"/>
        <w:jc w:val="left"/>
        <w:rPr>
          <w:spacing w:val="0"/>
        </w:rPr>
      </w:pPr>
      <w:r>
        <w:rPr>
          <w:spacing w:val="0"/>
        </w:rPr>
        <w:t> </w:t>
      </w:r>
    </w:p>
    <w:tbl>
      <w:tblPr>
        <w:tblW w:w="6565" w:type="dxa"/>
        <w:jc w:val="left"/>
        <w:tblInd w:w="0" w:type="dxa"/>
        <w:tblLayout w:type="fixed"/>
        <w:tblCellMar>
          <w:top w:w="0" w:type="dxa"/>
          <w:left w:w="0" w:type="dxa"/>
          <w:bottom w:w="0" w:type="dxa"/>
          <w:right w:w="0" w:type="dxa"/>
        </w:tblCellMar>
      </w:tblPr>
      <w:tblGrid>
        <w:gridCol w:w="1295"/>
        <w:gridCol w:w="120"/>
        <w:gridCol w:w="187"/>
        <w:gridCol w:w="913"/>
        <w:gridCol w:w="79"/>
        <w:gridCol w:w="159"/>
        <w:gridCol w:w="187"/>
        <w:gridCol w:w="921"/>
        <w:gridCol w:w="60"/>
        <w:gridCol w:w="120"/>
        <w:gridCol w:w="166"/>
        <w:gridCol w:w="950"/>
        <w:gridCol w:w="70"/>
        <w:gridCol w:w="141"/>
        <w:gridCol w:w="166"/>
        <w:gridCol w:w="956"/>
        <w:gridCol w:w="7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9" w:type="dxa"/>
            <w:gridSpan w:val="6"/>
            <w:tcBorders/>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2023</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0"/>
              <w:jc w:val="center"/>
              <w:rPr>
                <w:b/>
                <w:spacing w:val="0"/>
              </w:rPr>
            </w:pPr>
            <w:r>
              <w:rPr>
                <w:b/>
                <w:spacing w:val="0"/>
              </w:rPr>
              <w:t>2023</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22" w:type="dxa"/>
            <w:gridSpan w:val="2"/>
            <w:tcBorders/>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2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(Amounts 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9" w:type="dxa"/>
            <w:gridSpan w:val="6"/>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United States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46,778</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21" w:type="dxa"/>
            <w:tcBorders/>
            <w:shd w:fill="CCEEFF" w:val="clear"/>
            <w:vAlign w:val="center"/>
          </w:tcPr>
          <w:p>
            <w:pPr>
              <w:pStyle w:val="TableContents"/>
              <w:bidi w:val="0"/>
              <w:spacing w:before="0" w:after="283"/>
              <w:jc w:val="right"/>
              <w:rPr/>
            </w:pPr>
            <w:r>
              <w:rPr/>
              <w:t>61,704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151,798</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180,519</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Canada</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627</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1,038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2,159</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3,187</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India and Other</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374</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408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1,089</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1,316</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revenues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13" w:type="dxa"/>
            <w:tcBorders/>
            <w:vAlign w:val="center"/>
          </w:tcPr>
          <w:p>
            <w:pPr>
              <w:pStyle w:val="TableContents"/>
              <w:bidi w:val="0"/>
              <w:spacing w:before="0" w:after="0"/>
              <w:jc w:val="right"/>
              <w:rPr>
                <w:b/>
                <w:spacing w:val="0"/>
              </w:rPr>
            </w:pPr>
            <w:r>
              <w:rPr>
                <w:b/>
                <w:spacing w:val="0"/>
              </w:rPr>
              <w:t>47,779</w:t>
            </w:r>
          </w:p>
        </w:tc>
        <w:tc>
          <w:tcPr>
            <w:tcW w:w="79" w:type="dxa"/>
            <w:tcBorders/>
            <w:vAlign w:val="center"/>
          </w:tcPr>
          <w:p>
            <w:pPr>
              <w:pStyle w:val="TableContents"/>
              <w:bidi w:val="0"/>
              <w:spacing w:before="0" w:after="0"/>
              <w:jc w:val="left"/>
              <w:rPr>
                <w:spacing w:val="0"/>
              </w:rPr>
            </w:pPr>
            <w:r>
              <w:rPr>
                <w:spacing w:val="0"/>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921" w:type="dxa"/>
            <w:tcBorders/>
            <w:vAlign w:val="center"/>
          </w:tcPr>
          <w:p>
            <w:pPr>
              <w:pStyle w:val="TableContents"/>
              <w:bidi w:val="0"/>
              <w:spacing w:before="0" w:after="0"/>
              <w:jc w:val="right"/>
              <w:rPr>
                <w:b/>
                <w:spacing w:val="0"/>
              </w:rPr>
            </w:pPr>
            <w:r>
              <w:rPr>
                <w:b/>
                <w:spacing w:val="0"/>
              </w:rPr>
              <w:t>63,150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spacing w:val="0"/>
              </w:rPr>
            </w:pPr>
            <w:r>
              <w:rPr>
                <w:b/>
                <w:spacing w:val="0"/>
              </w:rPr>
              <w:t>$</w:t>
            </w:r>
          </w:p>
        </w:tc>
        <w:tc>
          <w:tcPr>
            <w:tcW w:w="950" w:type="dxa"/>
            <w:tcBorders/>
            <w:vAlign w:val="center"/>
          </w:tcPr>
          <w:p>
            <w:pPr>
              <w:pStyle w:val="TableContents"/>
              <w:bidi w:val="0"/>
              <w:spacing w:before="0" w:after="0"/>
              <w:jc w:val="right"/>
              <w:rPr>
                <w:b/>
                <w:spacing w:val="0"/>
              </w:rPr>
            </w:pPr>
            <w:r>
              <w:rPr>
                <w:b/>
                <w:spacing w:val="0"/>
              </w:rPr>
              <w:t>155,046</w:t>
            </w:r>
          </w:p>
        </w:tc>
        <w:tc>
          <w:tcPr>
            <w:tcW w:w="70" w:type="dxa"/>
            <w:tcBorders/>
            <w:vAlign w:val="center"/>
          </w:tcPr>
          <w:p>
            <w:pPr>
              <w:pStyle w:val="TableContents"/>
              <w:bidi w:val="0"/>
              <w:spacing w:before="0" w:after="0"/>
              <w:jc w:val="left"/>
              <w:rPr>
                <w:spacing w:val="0"/>
              </w:rPr>
            </w:pPr>
            <w:r>
              <w:rPr>
                <w:spacing w:val="0"/>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spacing w:val="0"/>
              </w:rPr>
            </w:pPr>
            <w:r>
              <w:rPr>
                <w:b/>
                <w:spacing w:val="0"/>
              </w:rPr>
              <w:t>$</w:t>
            </w:r>
          </w:p>
        </w:tc>
        <w:tc>
          <w:tcPr>
            <w:tcW w:w="956" w:type="dxa"/>
            <w:tcBorders/>
            <w:vAlign w:val="center"/>
          </w:tcPr>
          <w:p>
            <w:pPr>
              <w:pStyle w:val="TableContents"/>
              <w:bidi w:val="0"/>
              <w:spacing w:before="0" w:after="0"/>
              <w:jc w:val="right"/>
              <w:rPr>
                <w:b/>
                <w:spacing w:val="0"/>
              </w:rPr>
            </w:pPr>
            <w:r>
              <w:rPr>
                <w:b/>
                <w:spacing w:val="0"/>
              </w:rPr>
              <w:t>185,022</w:t>
            </w:r>
          </w:p>
        </w:tc>
        <w:tc>
          <w:tcPr>
            <w:tcW w:w="75" w:type="dxa"/>
            <w:tcBorders/>
            <w:vAlign w:val="center"/>
          </w:tcPr>
          <w:p>
            <w:pPr>
              <w:pStyle w:val="TableContents"/>
              <w:bidi w:val="0"/>
              <w:spacing w:before="0" w:after="0"/>
              <w:jc w:val="left"/>
              <w:rPr>
                <w:spacing w:val="0"/>
              </w:rPr>
            </w:pPr>
            <w:r>
              <w:rPr>
                <w:spacing w:val="0"/>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3790" w:type="dxa"/>
        <w:jc w:val="left"/>
        <w:tblInd w:w="0" w:type="dxa"/>
        <w:tblLayout w:type="fixed"/>
        <w:tblCellMar>
          <w:top w:w="0" w:type="dxa"/>
          <w:left w:w="0" w:type="dxa"/>
          <w:bottom w:w="0" w:type="dxa"/>
          <w:right w:w="0" w:type="dxa"/>
        </w:tblCellMar>
      </w:tblPr>
      <w:tblGrid>
        <w:gridCol w:w="215"/>
        <w:gridCol w:w="3575"/>
      </w:tblGrid>
      <w:tr>
        <w:trPr/>
        <w:tc>
          <w:tcPr>
            <w:tcW w:w="215" w:type="dxa"/>
            <w:tcBorders/>
            <w:vAlign w:val="center"/>
          </w:tcPr>
          <w:p>
            <w:pPr>
              <w:pStyle w:val="TableContents"/>
              <w:bidi w:val="0"/>
              <w:spacing w:before="0" w:after="0"/>
              <w:jc w:val="left"/>
              <w:rPr>
                <w:b/>
                <w:spacing w:val="0"/>
              </w:rPr>
            </w:pPr>
            <w:r>
              <w:rPr>
                <w:b/>
                <w:spacing w:val="0"/>
              </w:rPr>
              <w:t>3.</w:t>
            </w:r>
          </w:p>
        </w:tc>
        <w:tc>
          <w:tcPr>
            <w:tcW w:w="35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Goodwill and Other Intangible Assets, net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Goodwill related to our June 15, 2015, acquisition of Hudson Global Resources Management’s U.S. IT staffing business (“Hudson IT”) totaled $8.4 million. Goodwill related to our July 13, 2017, acquisition of the services division of InfoTrellis totaled $27.4 million. During 2018, the Company recorded a goodwill impairment of $9.7 million related to the InfoTrellis acquisition. Goodwill related to our October 1, 2020, acquisition of AmberLeaf totaled $6.4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Declines in 2023 revenues in our Data and Analytics Services segment, compared to expectations, was viewed as a triggering event for impairment testing in the third quarter of 2023. Accordingly, we performed an interim quantitative impairment test for our Data and Analytics Services segment. The interim impairment test did not result in an impairment during the third quarter, however, further declines in revenue could have a negative impact on the implied fair value of goodwill and may result in a goodwill impairment charge in a subsequent period.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is amortizing the identifiable intangible assets on a straight-line basis over estimated average lives ranging from 3 to 12 years. Identifiable intangible assets were comprised of the following as of September 30, 2023, and December 31, 2022: </w:t>
      </w:r>
    </w:p>
    <w:p>
      <w:pPr>
        <w:pStyle w:val="TextBody"/>
        <w:bidi w:val="0"/>
        <w:spacing w:before="0" w:after="0"/>
        <w:jc w:val="left"/>
        <w:rPr>
          <w:spacing w:val="0"/>
        </w:rPr>
      </w:pPr>
      <w:r>
        <w:rPr>
          <w:spacing w:val="0"/>
        </w:rPr>
        <w:t> </w:t>
      </w:r>
    </w:p>
    <w:tbl>
      <w:tblPr>
        <w:tblW w:w="9384" w:type="dxa"/>
        <w:jc w:val="left"/>
        <w:tblInd w:w="0" w:type="dxa"/>
        <w:tblLayout w:type="fixed"/>
        <w:tblCellMar>
          <w:top w:w="0" w:type="dxa"/>
          <w:left w:w="0" w:type="dxa"/>
          <w:bottom w:w="0" w:type="dxa"/>
          <w:right w:w="0" w:type="dxa"/>
        </w:tblCellMar>
      </w:tblPr>
      <w:tblGrid>
        <w:gridCol w:w="2450"/>
        <w:gridCol w:w="120"/>
        <w:gridCol w:w="335"/>
        <w:gridCol w:w="1454"/>
        <w:gridCol w:w="60"/>
        <w:gridCol w:w="120"/>
        <w:gridCol w:w="274"/>
        <w:gridCol w:w="1336"/>
        <w:gridCol w:w="60"/>
        <w:gridCol w:w="120"/>
        <w:gridCol w:w="241"/>
        <w:gridCol w:w="1174"/>
        <w:gridCol w:w="60"/>
        <w:gridCol w:w="120"/>
        <w:gridCol w:w="236"/>
        <w:gridCol w:w="1149"/>
        <w:gridCol w:w="75"/>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9" w:type="dxa"/>
            <w:gridSpan w:val="14"/>
            <w:tcBorders/>
            <w:vAlign w:val="center"/>
          </w:tcPr>
          <w:p>
            <w:pPr>
              <w:pStyle w:val="TableContents"/>
              <w:bidi w:val="0"/>
              <w:spacing w:before="0" w:after="0"/>
              <w:jc w:val="center"/>
              <w:rPr>
                <w:b/>
                <w:spacing w:val="0"/>
              </w:rPr>
            </w:pPr>
            <w:r>
              <w:rPr>
                <w:b/>
                <w:spacing w:val="0"/>
              </w:rPr>
              <w:t>As of September 30, 2023</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(Amounts in thousands)</w:t>
            </w:r>
          </w:p>
        </w:tc>
        <w:tc>
          <w:tcPr>
            <w:tcW w:w="120"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0"/>
              <w:jc w:val="center"/>
              <w:rPr>
                <w:b/>
                <w:spacing w:val="0"/>
              </w:rPr>
            </w:pPr>
            <w:r>
              <w:rPr>
                <w:b/>
                <w:spacing w:val="0"/>
              </w:rPr>
              <w:t>Amortization</w:t>
            </w:r>
          </w:p>
          <w:p>
            <w:pPr>
              <w:pStyle w:val="TableContents"/>
              <w:bidi w:val="0"/>
              <w:spacing w:before="0" w:after="0"/>
              <w:jc w:val="center"/>
              <w:rPr/>
            </w:pPr>
            <w:r>
              <w:rPr/>
            </w:r>
          </w:p>
          <w:p>
            <w:pPr>
              <w:pStyle w:val="TableContents"/>
              <w:bidi w:val="0"/>
              <w:spacing w:before="0" w:after="0"/>
              <w:jc w:val="center"/>
              <w:rPr>
                <w:b/>
                <w:spacing w:val="0"/>
              </w:rPr>
            </w:pPr>
            <w:r>
              <w:rPr>
                <w:b/>
                <w:spacing w:val="0"/>
              </w:rPr>
              <w:t>Period (In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Gross Carrying</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Accumulative</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0"/>
              <w:jc w:val="center"/>
              <w:rPr>
                <w:b/>
                <w:spacing w:val="0"/>
              </w:rPr>
            </w:pPr>
            <w:r>
              <w:rPr>
                <w:b/>
                <w:spacing w:val="0"/>
              </w:rPr>
              <w:t>Net Carrying</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1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Client relationships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7,999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5,527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2,472</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Covenant-not-to-compete</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name</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1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Client relationships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19,641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9,367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10,274</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Covenant-not-to-compete</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176</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name</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1,515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196</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Technology</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1,979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1,403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576</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Intangible Assets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
                <w:spacing w:val="0"/>
              </w:rPr>
            </w:pPr>
            <w:r>
              <w:rPr>
                <w:b/>
                <w:spacing w:val="0"/>
              </w:rPr>
              <w:t>$</w:t>
            </w:r>
          </w:p>
        </w:tc>
        <w:tc>
          <w:tcPr>
            <w:tcW w:w="1336" w:type="dxa"/>
            <w:tcBorders/>
            <w:vAlign w:val="center"/>
          </w:tcPr>
          <w:p>
            <w:pPr>
              <w:pStyle w:val="TableContents"/>
              <w:bidi w:val="0"/>
              <w:spacing w:before="0" w:after="0"/>
              <w:jc w:val="right"/>
              <w:rPr>
                <w:b/>
                <w:spacing w:val="0"/>
              </w:rPr>
            </w:pPr>
            <w:r>
              <w:rPr>
                <w:b/>
                <w:spacing w:val="0"/>
              </w:rPr>
              <w:t>33,099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
                <w:spacing w:val="0"/>
              </w:rPr>
            </w:pPr>
            <w:r>
              <w:rPr>
                <w:b/>
                <w:spacing w:val="0"/>
              </w:rPr>
              <w:t>$</w:t>
            </w:r>
          </w:p>
        </w:tc>
        <w:tc>
          <w:tcPr>
            <w:tcW w:w="1174" w:type="dxa"/>
            <w:tcBorders/>
            <w:vAlign w:val="center"/>
          </w:tcPr>
          <w:p>
            <w:pPr>
              <w:pStyle w:val="TableContents"/>
              <w:bidi w:val="0"/>
              <w:spacing w:before="0" w:after="0"/>
              <w:jc w:val="right"/>
              <w:rPr>
                <w:b/>
                <w:spacing w:val="0"/>
              </w:rPr>
            </w:pPr>
            <w:r>
              <w:rPr>
                <w:b/>
                <w:spacing w:val="0"/>
              </w:rPr>
              <w:t>19,405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
                <w:spacing w:val="0"/>
              </w:rPr>
            </w:pPr>
            <w:r>
              <w:rPr>
                <w:b/>
                <w:spacing w:val="0"/>
              </w:rPr>
              <w:t>$</w:t>
            </w:r>
          </w:p>
        </w:tc>
        <w:tc>
          <w:tcPr>
            <w:tcW w:w="1149" w:type="dxa"/>
            <w:tcBorders/>
            <w:vAlign w:val="center"/>
          </w:tcPr>
          <w:p>
            <w:pPr>
              <w:pStyle w:val="TableContents"/>
              <w:bidi w:val="0"/>
              <w:spacing w:before="0" w:after="0"/>
              <w:jc w:val="right"/>
              <w:rPr>
                <w:b/>
                <w:spacing w:val="0"/>
              </w:rPr>
            </w:pPr>
            <w:r>
              <w:rPr>
                <w:b/>
                <w:spacing w:val="0"/>
              </w:rPr>
              <w:t>13,694</w:t>
            </w:r>
          </w:p>
        </w:tc>
        <w:tc>
          <w:tcPr>
            <w:tcW w:w="75" w:type="dxa"/>
            <w:tcBorders/>
            <w:vAlign w:val="center"/>
          </w:tcPr>
          <w:p>
            <w:pPr>
              <w:pStyle w:val="TableContents"/>
              <w:bidi w:val="0"/>
              <w:spacing w:before="0" w:after="0"/>
              <w:jc w:val="left"/>
              <w:rPr>
                <w:spacing w:val="0"/>
              </w:rPr>
            </w:pPr>
            <w:r>
              <w:rPr>
                <w:spacing w:val="0"/>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9384" w:type="dxa"/>
        <w:jc w:val="left"/>
        <w:tblInd w:w="0" w:type="dxa"/>
        <w:tblLayout w:type="fixed"/>
        <w:tblCellMar>
          <w:top w:w="0" w:type="dxa"/>
          <w:left w:w="0" w:type="dxa"/>
          <w:bottom w:w="0" w:type="dxa"/>
          <w:right w:w="0" w:type="dxa"/>
        </w:tblCellMar>
      </w:tblPr>
      <w:tblGrid>
        <w:gridCol w:w="2450"/>
        <w:gridCol w:w="120"/>
        <w:gridCol w:w="335"/>
        <w:gridCol w:w="1454"/>
        <w:gridCol w:w="60"/>
        <w:gridCol w:w="120"/>
        <w:gridCol w:w="274"/>
        <w:gridCol w:w="1336"/>
        <w:gridCol w:w="60"/>
        <w:gridCol w:w="120"/>
        <w:gridCol w:w="241"/>
        <w:gridCol w:w="1174"/>
        <w:gridCol w:w="60"/>
        <w:gridCol w:w="120"/>
        <w:gridCol w:w="236"/>
        <w:gridCol w:w="1149"/>
        <w:gridCol w:w="75"/>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9" w:type="dxa"/>
            <w:gridSpan w:val="14"/>
            <w:tcBorders/>
            <w:vAlign w:val="center"/>
          </w:tcPr>
          <w:p>
            <w:pPr>
              <w:pStyle w:val="TableContents"/>
              <w:bidi w:val="0"/>
              <w:spacing w:before="0" w:after="0"/>
              <w:jc w:val="center"/>
              <w:rPr>
                <w:b/>
                <w:spacing w:val="0"/>
              </w:rPr>
            </w:pPr>
            <w:r>
              <w:rPr>
                <w:b/>
                <w:spacing w:val="0"/>
              </w:rPr>
              <w:t>As of December 31, 2022</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(Amounts in thousands)</w:t>
            </w:r>
          </w:p>
        </w:tc>
        <w:tc>
          <w:tcPr>
            <w:tcW w:w="120"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0"/>
              <w:jc w:val="center"/>
              <w:rPr>
                <w:b/>
                <w:spacing w:val="0"/>
              </w:rPr>
            </w:pPr>
            <w:r>
              <w:rPr>
                <w:b/>
                <w:spacing w:val="0"/>
              </w:rPr>
              <w:t>Amortization</w:t>
            </w:r>
          </w:p>
          <w:p>
            <w:pPr>
              <w:pStyle w:val="TableContents"/>
              <w:bidi w:val="0"/>
              <w:spacing w:before="0" w:after="0"/>
              <w:jc w:val="center"/>
              <w:rPr/>
            </w:pPr>
            <w:r>
              <w:rPr/>
            </w:r>
          </w:p>
          <w:p>
            <w:pPr>
              <w:pStyle w:val="TableContents"/>
              <w:bidi w:val="0"/>
              <w:spacing w:before="0" w:after="0"/>
              <w:jc w:val="center"/>
              <w:rPr>
                <w:b/>
                <w:spacing w:val="0"/>
              </w:rPr>
            </w:pPr>
            <w:r>
              <w:rPr>
                <w:b/>
                <w:spacing w:val="0"/>
              </w:rPr>
              <w:t>Period (In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Gross Carrying</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Accumulative</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0"/>
              <w:jc w:val="center"/>
              <w:rPr>
                <w:b/>
                <w:spacing w:val="0"/>
              </w:rPr>
            </w:pPr>
            <w:r>
              <w:rPr>
                <w:b/>
                <w:spacing w:val="0"/>
              </w:rPr>
              <w:t>Net Carrying</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1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Client relationships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7,999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5,027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2,972</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Covenant-not-to-compete</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name</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145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Client relationships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19,641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8,140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11,501</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Covenant-not-to-compete</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959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242</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name</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270</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Technology</w:t>
            </w:r>
          </w:p>
        </w:tc>
        <w:tc>
          <w:tcPr>
            <w:tcW w:w="12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1,979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1,191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788</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Intangible Assets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
                <w:spacing w:val="0"/>
              </w:rPr>
            </w:pPr>
            <w:r>
              <w:rPr>
                <w:b/>
                <w:spacing w:val="0"/>
              </w:rPr>
              <w:t>$</w:t>
            </w:r>
          </w:p>
        </w:tc>
        <w:tc>
          <w:tcPr>
            <w:tcW w:w="1336" w:type="dxa"/>
            <w:tcBorders/>
            <w:vAlign w:val="center"/>
          </w:tcPr>
          <w:p>
            <w:pPr>
              <w:pStyle w:val="TableContents"/>
              <w:bidi w:val="0"/>
              <w:spacing w:before="0" w:after="0"/>
              <w:jc w:val="right"/>
              <w:rPr>
                <w:b/>
                <w:spacing w:val="0"/>
              </w:rPr>
            </w:pPr>
            <w:r>
              <w:rPr>
                <w:b/>
                <w:spacing w:val="0"/>
              </w:rPr>
              <w:t>33,099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
                <w:spacing w:val="0"/>
              </w:rPr>
            </w:pPr>
            <w:r>
              <w:rPr>
                <w:b/>
                <w:spacing w:val="0"/>
              </w:rPr>
              <w:t>$</w:t>
            </w:r>
          </w:p>
        </w:tc>
        <w:tc>
          <w:tcPr>
            <w:tcW w:w="1174" w:type="dxa"/>
            <w:tcBorders/>
            <w:vAlign w:val="center"/>
          </w:tcPr>
          <w:p>
            <w:pPr>
              <w:pStyle w:val="TableContents"/>
              <w:bidi w:val="0"/>
              <w:spacing w:before="0" w:after="0"/>
              <w:jc w:val="right"/>
              <w:rPr>
                <w:b/>
                <w:spacing w:val="0"/>
              </w:rPr>
            </w:pPr>
            <w:r>
              <w:rPr>
                <w:b/>
                <w:spacing w:val="0"/>
              </w:rPr>
              <w:t>17,326</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b/>
                <w:spacing w:val="0"/>
              </w:rPr>
            </w:pPr>
            <w:r>
              <w:rPr>
                <w:b/>
                <w:spacing w:val="0"/>
              </w:rPr>
              <w:t>$</w:t>
            </w:r>
          </w:p>
        </w:tc>
        <w:tc>
          <w:tcPr>
            <w:tcW w:w="1149" w:type="dxa"/>
            <w:tcBorders/>
            <w:vAlign w:val="center"/>
          </w:tcPr>
          <w:p>
            <w:pPr>
              <w:pStyle w:val="TableContents"/>
              <w:bidi w:val="0"/>
              <w:spacing w:before="0" w:after="0"/>
              <w:jc w:val="right"/>
              <w:rPr>
                <w:b/>
                <w:spacing w:val="0"/>
              </w:rPr>
            </w:pPr>
            <w:r>
              <w:rPr>
                <w:b/>
                <w:spacing w:val="0"/>
              </w:rPr>
              <w:t>15,773</w:t>
            </w:r>
          </w:p>
        </w:tc>
        <w:tc>
          <w:tcPr>
            <w:tcW w:w="75" w:type="dxa"/>
            <w:tcBorders/>
            <w:vAlign w:val="center"/>
          </w:tcPr>
          <w:p>
            <w:pPr>
              <w:pStyle w:val="TableContents"/>
              <w:bidi w:val="0"/>
              <w:spacing w:before="0" w:after="0"/>
              <w:jc w:val="left"/>
              <w:rPr>
                <w:spacing w:val="0"/>
              </w:rPr>
            </w:pPr>
            <w:r>
              <w:rPr>
                <w:spacing w:val="0"/>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Amortization expense for the three and nine-month periods ended September 30, 2023 totaled $693,000 and $2.1 million, respectively and is included in selling, general and administrative expenses in the Condensed Consolidated Statement of Operations. For the three and nine-month periods ended September 30, 2022, amortization expense was $791,000 and $2.4 million,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estimated aggregate amortization expense for intangible assets for the years ending December 31, 2023, through December 31, 2027, is as follows: </w:t>
      </w:r>
    </w:p>
    <w:p>
      <w:pPr>
        <w:pStyle w:val="TextBody"/>
        <w:bidi w:val="0"/>
        <w:spacing w:before="0" w:after="0"/>
        <w:jc w:val="left"/>
        <w:rPr>
          <w:spacing w:val="0"/>
        </w:rPr>
      </w:pPr>
      <w:r>
        <w:rPr>
          <w:spacing w:val="0"/>
        </w:rPr>
        <w:t> </w:t>
      </w:r>
    </w:p>
    <w:tbl>
      <w:tblPr>
        <w:tblW w:w="6235" w:type="dxa"/>
        <w:jc w:val="left"/>
        <w:tblInd w:w="0" w:type="dxa"/>
        <w:tblLayout w:type="fixed"/>
        <w:tblCellMar>
          <w:top w:w="0" w:type="dxa"/>
          <w:left w:w="0" w:type="dxa"/>
          <w:bottom w:w="0" w:type="dxa"/>
          <w:right w:w="0" w:type="dxa"/>
        </w:tblCellMar>
      </w:tblPr>
      <w:tblGrid>
        <w:gridCol w:w="1820"/>
        <w:gridCol w:w="120"/>
        <w:gridCol w:w="140"/>
        <w:gridCol w:w="560"/>
        <w:gridCol w:w="60"/>
        <w:gridCol w:w="120"/>
        <w:gridCol w:w="140"/>
        <w:gridCol w:w="560"/>
        <w:gridCol w:w="60"/>
        <w:gridCol w:w="120"/>
        <w:gridCol w:w="140"/>
        <w:gridCol w:w="560"/>
        <w:gridCol w:w="60"/>
        <w:gridCol w:w="120"/>
        <w:gridCol w:w="140"/>
        <w:gridCol w:w="560"/>
        <w:gridCol w:w="60"/>
        <w:gridCol w:w="120"/>
        <w:gridCol w:w="140"/>
        <w:gridCol w:w="560"/>
        <w:gridCol w:w="75"/>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20" w:type="dxa"/>
            <w:gridSpan w:val="18"/>
            <w:tcBorders/>
            <w:vAlign w:val="center"/>
          </w:tcPr>
          <w:p>
            <w:pPr>
              <w:pStyle w:val="TableContents"/>
              <w:bidi w:val="0"/>
              <w:spacing w:before="0" w:after="0"/>
              <w:jc w:val="center"/>
              <w:rPr>
                <w:b/>
                <w:spacing w:val="0"/>
              </w:rPr>
            </w:pPr>
            <w:r>
              <w:rPr>
                <w:b/>
                <w:spacing w:val="0"/>
              </w:rPr>
              <w:t>Years Ended December 31,</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2027</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20" w:type="dxa"/>
            <w:gridSpan w:val="18"/>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Amortization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2,772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2,693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865" w:type="dxa"/>
        <w:jc w:val="left"/>
        <w:tblInd w:w="0" w:type="dxa"/>
        <w:tblLayout w:type="fixed"/>
        <w:tblCellMar>
          <w:top w:w="0" w:type="dxa"/>
          <w:left w:w="0" w:type="dxa"/>
          <w:bottom w:w="0" w:type="dxa"/>
          <w:right w:w="0" w:type="dxa"/>
        </w:tblCellMar>
      </w:tblPr>
      <w:tblGrid>
        <w:gridCol w:w="215"/>
        <w:gridCol w:w="650"/>
      </w:tblGrid>
      <w:tr>
        <w:trPr/>
        <w:tc>
          <w:tcPr>
            <w:tcW w:w="215" w:type="dxa"/>
            <w:tcBorders/>
            <w:vAlign w:val="center"/>
          </w:tcPr>
          <w:p>
            <w:pPr>
              <w:pStyle w:val="TableContents"/>
              <w:bidi w:val="0"/>
              <w:spacing w:before="0" w:after="0"/>
              <w:jc w:val="left"/>
              <w:rPr>
                <w:b/>
                <w:spacing w:val="0"/>
              </w:rPr>
            </w:pPr>
            <w:r>
              <w:rPr>
                <w:b/>
                <w:spacing w:val="0"/>
              </w:rPr>
              <w:t>4.</w:t>
            </w:r>
          </w:p>
        </w:tc>
        <w:tc>
          <w:tcPr>
            <w:tcW w:w="6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Leases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rents certain office facilities and equipment under noncancelable operating leases. As of September 30, 2023, approximately 96,000 square feet of office space is utilized for our sales and recruiting offices, delivery centers, and corporate headquarters. All of our leases are classified as operating leases. The average initial lease term is 4.8 years. Several leases have an option to renew, at our sole discretion, for an additional term. Our present lease terms range from less than one year to 3.9 years with a weighted average of 3.5 years. Leases with an initial term of twelve months or less are not recorded on the balance sheet.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summarizes the balance sheet classification of the lease assets and related lease liabilities: </w:t>
      </w:r>
    </w:p>
    <w:p>
      <w:pPr>
        <w:pStyle w:val="TextBody"/>
        <w:bidi w:val="0"/>
        <w:spacing w:before="0" w:after="0"/>
        <w:jc w:val="left"/>
        <w:rPr>
          <w:spacing w:val="0"/>
        </w:rPr>
      </w:pPr>
      <w:r>
        <w:rPr>
          <w:spacing w:val="0"/>
        </w:rPr>
        <w:t> </w:t>
      </w:r>
    </w:p>
    <w:tbl>
      <w:tblPr>
        <w:tblW w:w="7215" w:type="dxa"/>
        <w:jc w:val="left"/>
        <w:tblInd w:w="0" w:type="dxa"/>
        <w:tblLayout w:type="fixed"/>
        <w:tblCellMar>
          <w:top w:w="0" w:type="dxa"/>
          <w:left w:w="0" w:type="dxa"/>
          <w:bottom w:w="0" w:type="dxa"/>
          <w:right w:w="0" w:type="dxa"/>
        </w:tblCellMar>
      </w:tblPr>
      <w:tblGrid>
        <w:gridCol w:w="2870"/>
        <w:gridCol w:w="120"/>
        <w:gridCol w:w="403"/>
        <w:gridCol w:w="1612"/>
        <w:gridCol w:w="60"/>
        <w:gridCol w:w="120"/>
        <w:gridCol w:w="391"/>
        <w:gridCol w:w="1564"/>
        <w:gridCol w:w="75"/>
      </w:tblGrid>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0"/>
              <w:jc w:val="center"/>
              <w:rPr>
                <w:b/>
                <w:spacing w:val="0"/>
              </w:rPr>
            </w:pPr>
            <w:r>
              <w:rPr>
                <w:b/>
                <w:spacing w:val="0"/>
              </w:rPr>
              <w:t>September 30,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50" w:type="dxa"/>
            <w:gridSpan w:val="6"/>
            <w:tcBorders/>
            <w:vAlign w:val="center"/>
          </w:tcPr>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16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right"/>
              <w:rPr/>
            </w:pPr>
            <w:r>
              <w:rPr/>
              <w:t>4,418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3,886</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sz w:val="4"/>
                <w:szCs w:val="4"/>
              </w:rPr>
            </w:pPr>
            <w:r>
              <w:rPr>
                <w:sz w:val="4"/>
                <w:szCs w:val="4"/>
              </w:rPr>
            </w:r>
          </w:p>
        </w:tc>
        <w:tc>
          <w:tcPr>
            <w:tcW w:w="16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sz w:val="4"/>
                <w:szCs w:val="4"/>
              </w:rPr>
            </w:pPr>
            <w:r>
              <w:rPr>
                <w:sz w:val="4"/>
                <w:szCs w:val="4"/>
              </w:rPr>
            </w:r>
          </w:p>
        </w:tc>
        <w:tc>
          <w:tcPr>
            <w:tcW w:w="156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operating lease liability</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right"/>
              <w:rPr/>
            </w:pPr>
            <w:r>
              <w:rPr/>
              <w:t>1,318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1,504</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Long-term operating lease liability</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3,054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2,294</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right"/>
              <w:rPr/>
            </w:pPr>
            <w:r>
              <w:rPr/>
              <w:t>4,372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3,798</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Future minimum rental payments for office facilities and equipment under the Company’s noncancelable operating leases are as follows: </w:t>
      </w:r>
    </w:p>
    <w:p>
      <w:pPr>
        <w:pStyle w:val="TextBody"/>
        <w:bidi w:val="0"/>
        <w:spacing w:before="0" w:after="0"/>
        <w:jc w:val="left"/>
        <w:rPr>
          <w:spacing w:val="0"/>
        </w:rPr>
      </w:pPr>
      <w:r>
        <w:rPr>
          <w:spacing w:val="0"/>
        </w:rPr>
        <w:t> </w:t>
      </w:r>
    </w:p>
    <w:tbl>
      <w:tblPr>
        <w:tblW w:w="5730" w:type="dxa"/>
        <w:jc w:val="left"/>
        <w:tblInd w:w="0" w:type="dxa"/>
        <w:tblLayout w:type="fixed"/>
        <w:tblCellMar>
          <w:top w:w="0" w:type="dxa"/>
          <w:left w:w="0" w:type="dxa"/>
          <w:bottom w:w="0" w:type="dxa"/>
          <w:right w:w="0" w:type="dxa"/>
        </w:tblCellMar>
      </w:tblPr>
      <w:tblGrid>
        <w:gridCol w:w="3425"/>
        <w:gridCol w:w="120"/>
        <w:gridCol w:w="403"/>
        <w:gridCol w:w="1612"/>
        <w:gridCol w:w="17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0"/>
              <w:jc w:val="center"/>
              <w:rPr>
                <w:b/>
                <w:spacing w:val="0"/>
              </w:rPr>
            </w:pPr>
            <w:r>
              <w:rPr>
                <w:b/>
                <w:spacing w:val="0"/>
              </w:rPr>
              <w:t>Amount as of</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 2023</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0"/>
              <w:jc w:val="center"/>
              <w:rPr>
                <w:b/>
                <w:spacing w:val="0"/>
              </w:rPr>
            </w:pPr>
            <w:r>
              <w:rPr>
                <w:b/>
                <w:spacing w:val="0"/>
              </w:rPr>
              <w:t>(in thousands)</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2023 (for remainder of year)</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380</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2024</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1,408</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2025</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1,225</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1,220</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535</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Thereafter</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4,768</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Imputed interest</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(396</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Present value of operating lease liabilities</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4,372</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weighted average discount rate used to calculate the present value of future lease payments was 4.9%.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recognize rent expense for these leases on a straight-line basis over the lease term. Rental expense for the three and nine months ended September 30, 2023 totaled $0.4 million and $1.2 million, respectively. Rental expense for the three and nine months ended September 30, 2022 totaled $0.4 million and $1.3 million,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Total cash paid for lease liabilities for the three and nine months ended September 30, 2023 totaled $0.4 million and $1.2 million, respectively. Total cash paid for lease liabilities for the three and nine months ended September 30, 2022 totaled $0.4 million and $1.3 million,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New leases entered into during the three and nine months ended September 30, 2023 totaled $1.7 million and $1.7 million, respectively. New leases entered into during the three and nine months ended September 30, 2022 totaled $0 and $0.5 million, respectively. New leases are considered non cash transactions.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August 2023, the Company renegotiated and extended an operating lease for 39,875 square feet of office space in Noida, India. Lease payments will approximate $1.9 million through the extension period which ends August 30, 2027.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October 2023, the Company renegotiated and extended an operating lease for 11,495 square feet of office space in Moon Township, Pennsylvania. Lease payments will approximate $1.3 million through the extension period which ends September 29, 2029. </w:t>
      </w:r>
    </w:p>
    <w:p>
      <w:pPr>
        <w:pStyle w:val="TextBody"/>
        <w:bidi w:val="0"/>
        <w:spacing w:before="0" w:after="0"/>
        <w:jc w:val="left"/>
        <w:rPr>
          <w:spacing w:val="0"/>
        </w:rPr>
      </w:pPr>
      <w:r>
        <w:rPr>
          <w:spacing w:val="0"/>
        </w:rPr>
        <w:t> </w:t>
      </w:r>
    </w:p>
    <w:tbl>
      <w:tblPr>
        <w:tblW w:w="3070" w:type="dxa"/>
        <w:jc w:val="left"/>
        <w:tblInd w:w="0" w:type="dxa"/>
        <w:tblLayout w:type="fixed"/>
        <w:tblCellMar>
          <w:top w:w="0" w:type="dxa"/>
          <w:left w:w="0" w:type="dxa"/>
          <w:bottom w:w="0" w:type="dxa"/>
          <w:right w:w="0" w:type="dxa"/>
        </w:tblCellMar>
      </w:tblPr>
      <w:tblGrid>
        <w:gridCol w:w="215"/>
        <w:gridCol w:w="2855"/>
      </w:tblGrid>
      <w:tr>
        <w:trPr/>
        <w:tc>
          <w:tcPr>
            <w:tcW w:w="215" w:type="dxa"/>
            <w:tcBorders/>
            <w:vAlign w:val="center"/>
          </w:tcPr>
          <w:p>
            <w:pPr>
              <w:pStyle w:val="TableContents"/>
              <w:bidi w:val="0"/>
              <w:spacing w:before="0" w:after="0"/>
              <w:jc w:val="left"/>
              <w:rPr>
                <w:b/>
                <w:spacing w:val="0"/>
              </w:rPr>
            </w:pPr>
            <w:r>
              <w:rPr>
                <w:b/>
                <w:spacing w:val="0"/>
              </w:rPr>
              <w:t>5.</w:t>
            </w:r>
          </w:p>
        </w:tc>
        <w:tc>
          <w:tcPr>
            <w:tcW w:w="2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December 2022, the Company received a demand letter from the attorney of a former employee who resigned from his employment with the Company in November 2022. Among other allegations in the letter, this former employee has asserted various employment-related claims against the Company, including a claim of wrongful termination. For the three and nine months ended September 30, 2023, the Company incurred $225,000 and $1.2 million, respectively, of professional service fees related to this matter. Additionally, the Company recorded a $3.1 million loss reserve, net of recoveries in the second quarter of 2023, with respect to an estimated settlement. During the third quarter, we settled this claim and, under the terms of the settlement agreement with this former employee, we paid the settlement amount. The exact terms of the settlement agreement are to remain confidential; however, the settlement amount, net of expected recoveries, was fully reserved in the second quarter of 2023 and is included in Selling, General and Administrative expenses in the Condensed Consolidated Statement of Operations included in this quarterly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In the ordinary course of our business, the Company is involved in several lawsuits.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 </w:t>
      </w:r>
    </w:p>
    <w:p>
      <w:pPr>
        <w:pStyle w:val="TextBody"/>
        <w:bidi w:val="0"/>
        <w:spacing w:before="0" w:after="0"/>
        <w:jc w:val="left"/>
        <w:rPr>
          <w:spacing w:val="0"/>
        </w:rPr>
      </w:pPr>
      <w:r>
        <w:rPr>
          <w:spacing w:val="0"/>
        </w:rPr>
        <w:t> </w:t>
      </w:r>
    </w:p>
    <w:tbl>
      <w:tblPr>
        <w:tblW w:w="2230" w:type="dxa"/>
        <w:jc w:val="left"/>
        <w:tblInd w:w="0" w:type="dxa"/>
        <w:tblLayout w:type="fixed"/>
        <w:tblCellMar>
          <w:top w:w="0" w:type="dxa"/>
          <w:left w:w="0" w:type="dxa"/>
          <w:bottom w:w="0" w:type="dxa"/>
          <w:right w:w="0" w:type="dxa"/>
        </w:tblCellMar>
      </w:tblPr>
      <w:tblGrid>
        <w:gridCol w:w="215"/>
        <w:gridCol w:w="2015"/>
      </w:tblGrid>
      <w:tr>
        <w:trPr/>
        <w:tc>
          <w:tcPr>
            <w:tcW w:w="215" w:type="dxa"/>
            <w:tcBorders/>
            <w:vAlign w:val="center"/>
          </w:tcPr>
          <w:p>
            <w:pPr>
              <w:pStyle w:val="TableContents"/>
              <w:bidi w:val="0"/>
              <w:spacing w:before="0" w:after="0"/>
              <w:jc w:val="left"/>
              <w:rPr>
                <w:b/>
                <w:spacing w:val="0"/>
              </w:rPr>
            </w:pPr>
            <w:r>
              <w:rPr>
                <w:b/>
                <w:spacing w:val="0"/>
              </w:rPr>
              <w:t>6.</w:t>
            </w:r>
          </w:p>
        </w:tc>
        <w:tc>
          <w:tcPr>
            <w:tcW w:w="201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Employee Benefit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provides an Employee Retirement Savings Plan (the “Retirement Plan”) under Section 401(k) of the Internal Revenue Code of 1986, as amended (the “Code”), that covers substantially all U.S. based salaried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W-2</w:t>
      </w:r>
    </w:p>
    <w:p>
      <w:pPr>
        <w:pStyle w:val="TextBody"/>
        <w:bidi w:val="0"/>
        <w:spacing w:before="120" w:after="0"/>
        <w:jc w:val="left"/>
        <w:rPr>
          <w:rFonts w:ascii="Times New Roman" w:hAnsi="Times New Roman"/>
          <w:sz w:val="20"/>
        </w:rPr>
      </w:pPr>
      <w:r>
        <w:rPr>
          <w:rFonts w:ascii="Times New Roman" w:hAnsi="Times New Roman"/>
          <w:sz w:val="20"/>
        </w:rPr>
        <w:t xml:space="preserve">hourly employees. Employees may contribute a percentage of eligible compensation to the Retirement Plan, subject to certain limits under the Code. The Company did not provide for any matching contributions for the three and nine months ended September 30, 2023, and 2022. </w:t>
      </w:r>
    </w:p>
    <w:p>
      <w:pPr>
        <w:pStyle w:val="TextBody"/>
        <w:bidi w:val="0"/>
        <w:spacing w:before="0" w:after="0"/>
        <w:jc w:val="left"/>
        <w:rPr>
          <w:spacing w:val="0"/>
        </w:rPr>
      </w:pPr>
      <w:r>
        <w:rPr>
          <w:spacing w:val="0"/>
        </w:rPr>
        <w:t> </w:t>
      </w:r>
    </w:p>
    <w:tbl>
      <w:tblPr>
        <w:tblW w:w="2590" w:type="dxa"/>
        <w:jc w:val="left"/>
        <w:tblInd w:w="0" w:type="dxa"/>
        <w:tblLayout w:type="fixed"/>
        <w:tblCellMar>
          <w:top w:w="0" w:type="dxa"/>
          <w:left w:w="0" w:type="dxa"/>
          <w:bottom w:w="0" w:type="dxa"/>
          <w:right w:w="0" w:type="dxa"/>
        </w:tblCellMar>
      </w:tblPr>
      <w:tblGrid>
        <w:gridCol w:w="215"/>
        <w:gridCol w:w="2375"/>
      </w:tblGrid>
      <w:tr>
        <w:trPr/>
        <w:tc>
          <w:tcPr>
            <w:tcW w:w="215" w:type="dxa"/>
            <w:tcBorders/>
            <w:vAlign w:val="center"/>
          </w:tcPr>
          <w:p>
            <w:pPr>
              <w:pStyle w:val="TableContents"/>
              <w:bidi w:val="0"/>
              <w:spacing w:before="0" w:after="0"/>
              <w:jc w:val="left"/>
              <w:rPr>
                <w:b/>
                <w:spacing w:val="0"/>
              </w:rPr>
            </w:pPr>
            <w:r>
              <w:rPr>
                <w:b/>
                <w:spacing w:val="0"/>
              </w:rPr>
              <w:t>7.</w:t>
            </w:r>
          </w:p>
        </w:tc>
        <w:tc>
          <w:tcPr>
            <w:tcW w:w="23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Stock-Based Compensation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2008, the Company adopted a Stock Incentive Plan (as amended from time to time, the “Plan”) which provided that up to 5,400,000 shares of the Company’s common stock, par value $0.01 per share (“Common Stock”) should be allocated for issuance to directors, officers and key personnel. Grants under the Plan may be made in the form of stock options, stock appreciation rights, performance shares or stock awards.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three months ended September 30, 2023, the Company granted no shares under the Plan. During the three months ended September 30, 2022, the Company granted zero restricted share units and 250,000 stock options under the Plan.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nine months ended September 30, 2023, the Company granted 19,924 restricted share units and 125,000 stock options, with an average strike price of $11.24, under the Plan. During the nine months ended September 30, 2022, the Company granted 13,979 restricted share units and 650,000 stock options, at a weighted average strike price of $17.00, under the Plan. As of September 30, 2023, there were 505,000 shares of Common Stock available for grants under the Plan.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Stock-based compensation expense for the three months ended September 30, 2023 and 2022 was $824,000 and $776,000, respectively, and for the nine months ended September 30, 2023, and 2022 was $2.5 million and $2.1 million, respectively. Stock-based compensation expense is included in selling, general and administrative expenses in the Condensed Consolidated Statements of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three and nine months ended September 30, 2023, the Company issued zero and 17,804 shares, respectively, related to the grant of restricted share units and the exercise of stock options. During the three and nine months ended September 30, 2022, the Company issued zero and 133,932 shares, respectively, related to the grant of restricted share units and the exercise of stock options.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on May 15, 2019, to be so qualified.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Company’s eligible full-time employees are able to contribute up to 15% of their base compensation into the Employee Stock Purchase Plan, subject to an annual limit of $25,000. Employees are able to purchase shares of Common Stock at a 15% discount to the lower of the fair market value of Common Stock on the initial or final trading dates of each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six-month</w:t>
      </w:r>
    </w:p>
    <w:p>
      <w:pPr>
        <w:pStyle w:val="TextBody"/>
        <w:bidi w:val="0"/>
        <w:spacing w:before="240" w:after="0"/>
        <w:jc w:val="left"/>
        <w:rPr>
          <w:rFonts w:ascii="Times New Roman" w:hAnsi="Times New Roman"/>
          <w:sz w:val="20"/>
        </w:rPr>
      </w:pPr>
      <w:r>
        <w:rPr>
          <w:rFonts w:ascii="Times New Roman" w:hAnsi="Times New Roman"/>
          <w:sz w:val="20"/>
        </w:rPr>
        <w:t xml:space="preserve">offering period. Offering periods begin on January 1 and July 1 of each year. The Company uses the Black-Scholes option pricing model to determine the fair value of Employee Stock Purchase Plan share-based payments. The fair value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six-month</w:t>
      </w:r>
    </w:p>
    <w:p>
      <w:pPr>
        <w:pStyle w:val="TextBody"/>
        <w:bidi w:val="0"/>
        <w:spacing w:before="240" w:after="0"/>
        <w:jc w:val="left"/>
        <w:rPr/>
      </w:pPr>
      <w:r>
        <w:rPr/>
        <w:t>“</w:t>
      </w:r>
      <w:r>
        <w:rPr>
          <w:rFonts w:ascii="Times New Roman" w:hAnsi="Times New Roman"/>
          <w:sz w:val="20"/>
        </w:rPr>
        <w:t xml:space="preserve">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six-month</w:t>
      </w:r>
    </w:p>
    <w:p>
      <w:pPr>
        <w:pStyle w:val="TextBody"/>
        <w:bidi w:val="0"/>
        <w:spacing w:before="240" w:after="0"/>
        <w:jc w:val="left"/>
        <w:rPr>
          <w:rFonts w:ascii="Times New Roman" w:hAnsi="Times New Roman"/>
          <w:sz w:val="20"/>
        </w:rPr>
      </w:pPr>
      <w:r>
        <w:rPr>
          <w:rFonts w:ascii="Times New Roman" w:hAnsi="Times New Roman"/>
          <w:sz w:val="20"/>
        </w:rPr>
        <w:t xml:space="preserve">offering period. The Company utilized historical company data to develop its dividend yield and expected volatility assumptions.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During the three months ended September 30, 2023 and 2022, there were no shares issued under the Stock Purchase Plan. During the nine months ended September 30, 2023, and 2022, there were 17,890 shares and 15,765 shares issued under the Employee Stock Purchase Plan, at a share price of $8.40 and $12.63, respectively. Stock-based compensation expense related to the Stock Purchase Plan for the three months ended September 30, 2023, and 2022 totaled $10,000 and $11,000, respectively. Stock-based compensation expense related to the Stock Purchase Plan for the nine months ended September 30, 2023, and 2022 totaled $78,000 and $81,000, respectively, and is included in selling, general and administrative expenses in the Condensed Consolidated Statements of Operations for the nine months ended September 30, 2023, and 2022. As of September 30, 2023, there were 474,675 shares of Common Stock available for purchases under the Employee Stock Purchase Plan. </w:t>
      </w:r>
    </w:p>
    <w:p>
      <w:pPr>
        <w:pStyle w:val="TextBody"/>
        <w:bidi w:val="0"/>
        <w:spacing w:before="0" w:after="0"/>
        <w:jc w:val="left"/>
        <w:rPr>
          <w:spacing w:val="0"/>
        </w:rPr>
      </w:pPr>
      <w:r>
        <w:rPr>
          <w:spacing w:val="0"/>
        </w:rPr>
        <w:t> </w:t>
      </w:r>
    </w:p>
    <w:tbl>
      <w:tblPr>
        <w:tblW w:w="1540" w:type="dxa"/>
        <w:jc w:val="left"/>
        <w:tblInd w:w="0" w:type="dxa"/>
        <w:tblLayout w:type="fixed"/>
        <w:tblCellMar>
          <w:top w:w="0" w:type="dxa"/>
          <w:left w:w="0" w:type="dxa"/>
          <w:bottom w:w="0" w:type="dxa"/>
          <w:right w:w="0" w:type="dxa"/>
        </w:tblCellMar>
      </w:tblPr>
      <w:tblGrid>
        <w:gridCol w:w="215"/>
        <w:gridCol w:w="1325"/>
      </w:tblGrid>
      <w:tr>
        <w:trPr/>
        <w:tc>
          <w:tcPr>
            <w:tcW w:w="215" w:type="dxa"/>
            <w:tcBorders/>
            <w:vAlign w:val="center"/>
          </w:tcPr>
          <w:p>
            <w:pPr>
              <w:pStyle w:val="TableContents"/>
              <w:bidi w:val="0"/>
              <w:spacing w:before="0" w:after="0"/>
              <w:jc w:val="left"/>
              <w:rPr>
                <w:b/>
                <w:spacing w:val="0"/>
              </w:rPr>
            </w:pPr>
            <w:r>
              <w:rPr>
                <w:b/>
                <w:spacing w:val="0"/>
              </w:rPr>
              <w:t>8.</w:t>
            </w:r>
          </w:p>
        </w:tc>
        <w:tc>
          <w:tcPr>
            <w:tcW w:w="13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Credit Facility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8-Ks</w:t>
      </w:r>
    </w:p>
    <w:p>
      <w:pPr>
        <w:pStyle w:val="TextBody"/>
        <w:bidi w:val="0"/>
        <w:spacing w:before="120" w:after="0"/>
        <w:jc w:val="left"/>
        <w:rPr>
          <w:rFonts w:ascii="Times New Roman" w:hAnsi="Times New Roman"/>
          <w:sz w:val="20"/>
        </w:rPr>
      </w:pPr>
      <w:r>
        <w:rPr>
          <w:rFonts w:ascii="Times New Roman" w:hAnsi="Times New Roman"/>
          <w:sz w:val="20"/>
        </w:rPr>
        <w:t xml:space="preserve">filed with the SEC on July 19, 2017, April 25, 2018 and October 7, 2020, and Exhibit 10.2 to the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8-K/A</w:t>
      </w:r>
    </w:p>
    <w:p>
      <w:pPr>
        <w:pStyle w:val="TextBody"/>
        <w:bidi w:val="0"/>
        <w:spacing w:before="120" w:after="0"/>
        <w:jc w:val="left"/>
        <w:rPr>
          <w:rFonts w:ascii="Times New Roman" w:hAnsi="Times New Roman"/>
          <w:sz w:val="20"/>
        </w:rPr>
      </w:pPr>
      <w:r>
        <w:rPr>
          <w:rFonts w:ascii="Times New Roman" w:hAnsi="Times New Roman"/>
          <w:sz w:val="20"/>
        </w:rPr>
        <w:t xml:space="preserve">filed with the SEC on January 4, 2022. Additionally, the facility includes an accordion feature for additional borrowing of up to $20 million upon satisfaction of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Revolver expires in December 2026 and includes swing loan and letter of credit </w:t>
      </w:r>
    </w:p>
    <w:p>
      <w:pPr>
        <w:pStyle w:val="TextBody"/>
        <w:bidi w:val="0"/>
        <w:spacing w:before="240" w:after="0"/>
        <w:jc w:val="left"/>
        <w:rPr>
          <w:rFonts w:ascii="Times New Roman" w:hAnsi="Times New Roman"/>
          <w:spacing w:val="0"/>
          <w:sz w:val="20"/>
        </w:rPr>
      </w:pPr>
      <w:r>
        <w:rPr>
          <w:rFonts w:ascii="Times New Roman" w:hAnsi="Times New Roman"/>
          <w:spacing w:val="0"/>
          <w:sz w:val="20"/>
        </w:rPr>
        <w:t>sub-limits</w:t>
      </w:r>
    </w:p>
    <w:p>
      <w:pPr>
        <w:pStyle w:val="TextBody"/>
        <w:bidi w:val="0"/>
        <w:spacing w:before="240" w:after="0"/>
        <w:jc w:val="left"/>
        <w:rPr>
          <w:rFonts w:ascii="Times New Roman" w:hAnsi="Times New Roman"/>
          <w:sz w:val="20"/>
        </w:rPr>
      </w:pPr>
      <w:r>
        <w:rPr>
          <w:rFonts w:ascii="Times New Roman" w:hAnsi="Times New Roman"/>
          <w:sz w:val="20"/>
        </w:rPr>
        <w:t xml:space="preserve">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 $10.0 million; and (ii) the sum of 85% of eligible Canadian receivables, plus 60% of eligible Canadian unbilled receivables, less a reserve amount established by the administrative agent.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was made on January 3, 2023, taking the outstanding balance to zero.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Revolver and the Term Loan, which may be made at the Company’s election, bear interest at either (a) the higher of PNC’s prime rate or the federal funds rate plus 0.50%, plus an applicable margin determined based upon the Company’s senior leverage ratio or (b) the Bloomberg Short-Term Bank Yield Index (“BSBY”), plus an applicable margin determined based upon the Company’s senior leverage ratio. The applicable margin on the base rate is between 0.50% and 1.25% on Revolver borrowings and between 1.75% and 2.50% on Term Loan borrowings. The applicable margin on the BSBY is between 1.50% and 2.25% on Revolver borrowings and between 2.75% and 3.50% on Term Loan borrowings. A 20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30-basis</w:t>
      </w:r>
    </w:p>
    <w:p>
      <w:pPr>
        <w:pStyle w:val="TextBody"/>
        <w:bidi w:val="0"/>
        <w:spacing w:before="240" w:after="0"/>
        <w:jc w:val="left"/>
        <w:rPr>
          <w:rFonts w:ascii="Times New Roman" w:hAnsi="Times New Roman"/>
          <w:sz w:val="20"/>
        </w:rPr>
      </w:pPr>
      <w:r>
        <w:rPr>
          <w:rFonts w:ascii="Times New Roman" w:hAnsi="Times New Roman"/>
          <w:sz w:val="20"/>
        </w:rPr>
        <w:t xml:space="preserve">point per annum commitment fee on the unused portion of the Revolver is charged and due monthly in arrears. The applicable commitment fee is determined based upon the Company’s senior leverage ratio.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September 30, 2023, the Company was in compliance with all applicable provisions of the Credit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securing the commitments under the Credit Agreement and the April 20, 2018, October 1, 2020, and December 29, 2021, amendments to the Credit Agreement, the Company paid a commitment fee and incurred deferred financing costs totaling $975,000, which were capitalized and are being amortized as interest expense over the life of the Credit Agreement. Deferred financing costs of $238,000 and $293,000 (net of amortization) as of September 30, 2023, and December 31, 2022, respectively, are presented as long-term assets in the Company’s Consolidated Balance Sheets.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September 30, 2023, and December 31, 2022, the Company’s outstanding borrowings under the Revolver totaled zero dollars; and unused borrowing capacity available was approximately $24.8 million and $31.8 million, respectively. The Company’s outstanding borrowings under the Term Loan were zero dollars and $1.1 million at September 30, 2023, and December 31, 2022,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480" w:type="dxa"/>
        <w:jc w:val="left"/>
        <w:tblInd w:w="0" w:type="dxa"/>
        <w:tblLayout w:type="fixed"/>
        <w:tblCellMar>
          <w:top w:w="0" w:type="dxa"/>
          <w:left w:w="0" w:type="dxa"/>
          <w:bottom w:w="0" w:type="dxa"/>
          <w:right w:w="0" w:type="dxa"/>
        </w:tblCellMar>
      </w:tblPr>
      <w:tblGrid>
        <w:gridCol w:w="215"/>
        <w:gridCol w:w="1265"/>
      </w:tblGrid>
      <w:tr>
        <w:trPr/>
        <w:tc>
          <w:tcPr>
            <w:tcW w:w="215" w:type="dxa"/>
            <w:tcBorders/>
            <w:vAlign w:val="center"/>
          </w:tcPr>
          <w:p>
            <w:pPr>
              <w:pStyle w:val="TableContents"/>
              <w:bidi w:val="0"/>
              <w:spacing w:before="0" w:after="0"/>
              <w:jc w:val="left"/>
              <w:rPr>
                <w:b/>
                <w:spacing w:val="0"/>
              </w:rPr>
            </w:pPr>
            <w:r>
              <w:rPr>
                <w:b/>
                <w:spacing w:val="0"/>
              </w:rPr>
              <w:t>9.</w:t>
            </w:r>
          </w:p>
        </w:tc>
        <w:tc>
          <w:tcPr>
            <w:tcW w:w="12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components of income (loss) before income taxes, as shown in the accompanying Financial Statements, consisted of the following for the three and nine months ended September 30, 2023 and 2022: </w:t>
      </w:r>
    </w:p>
    <w:p>
      <w:pPr>
        <w:pStyle w:val="TextBody"/>
        <w:bidi w:val="0"/>
        <w:spacing w:before="0" w:after="0"/>
        <w:jc w:val="left"/>
        <w:rPr>
          <w:spacing w:val="0"/>
        </w:rPr>
      </w:pPr>
      <w:r>
        <w:rPr>
          <w:spacing w:val="0"/>
        </w:rPr>
        <w:t> </w:t>
      </w:r>
    </w:p>
    <w:tbl>
      <w:tblPr>
        <w:tblW w:w="8298" w:type="dxa"/>
        <w:jc w:val="left"/>
        <w:tblInd w:w="0" w:type="dxa"/>
        <w:tblLayout w:type="fixed"/>
        <w:tblCellMar>
          <w:top w:w="0" w:type="dxa"/>
          <w:left w:w="0" w:type="dxa"/>
          <w:bottom w:w="0" w:type="dxa"/>
          <w:right w:w="0" w:type="dxa"/>
        </w:tblCellMar>
      </w:tblPr>
      <w:tblGrid>
        <w:gridCol w:w="2840"/>
        <w:gridCol w:w="120"/>
        <w:gridCol w:w="217"/>
        <w:gridCol w:w="708"/>
        <w:gridCol w:w="241"/>
        <w:gridCol w:w="185"/>
        <w:gridCol w:w="217"/>
        <w:gridCol w:w="878"/>
        <w:gridCol w:w="155"/>
        <w:gridCol w:w="120"/>
        <w:gridCol w:w="182"/>
        <w:gridCol w:w="830"/>
        <w:gridCol w:w="201"/>
        <w:gridCol w:w="156"/>
        <w:gridCol w:w="182"/>
        <w:gridCol w:w="896"/>
        <w:gridCol w:w="170"/>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7" w:type="dxa"/>
            <w:gridSpan w:val="6"/>
            <w:tcBorders/>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0"/>
              <w:jc w:val="center"/>
              <w:rPr>
                <w:b/>
                <w:spacing w:val="0"/>
              </w:rPr>
            </w:pPr>
            <w:r>
              <w:rPr>
                <w:b/>
                <w:spacing w:val="0"/>
              </w:rPr>
              <w:t>2023</w:t>
            </w:r>
          </w:p>
        </w:tc>
        <w:tc>
          <w:tcPr>
            <w:tcW w:w="2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95"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0"/>
              <w:jc w:val="center"/>
              <w:rPr>
                <w:b/>
                <w:spacing w:val="0"/>
              </w:rPr>
            </w:pPr>
            <w:r>
              <w:rPr>
                <w:b/>
                <w:spacing w:val="0"/>
              </w:rPr>
              <w:t>2023</w:t>
            </w:r>
          </w:p>
        </w:tc>
        <w:tc>
          <w:tcPr>
            <w:tcW w:w="201"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(Amounts in thousands)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7" w:type="dxa"/>
            <w:gridSpan w:val="6"/>
            <w:tcBorders/>
            <w:vAlign w:val="center"/>
          </w:tcPr>
          <w:p>
            <w:pPr>
              <w:pStyle w:val="TableContents"/>
              <w:bidi w:val="0"/>
              <w:spacing w:before="0" w:after="0"/>
              <w:jc w:val="center"/>
              <w:rPr>
                <w:b/>
                <w:spacing w:val="0"/>
              </w:rPr>
            </w:pPr>
            <w:r>
              <w:rPr>
                <w:b/>
                <w:spacing w:val="0"/>
              </w:rPr>
              <w:t>(Amounts in thousands)</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(loss) before income taxes: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708"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Domestic</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708" w:type="dxa"/>
            <w:tcBorders/>
            <w:vAlign w:val="center"/>
          </w:tcPr>
          <w:p>
            <w:pPr>
              <w:pStyle w:val="TableContents"/>
              <w:bidi w:val="0"/>
              <w:spacing w:before="0" w:after="283"/>
              <w:jc w:val="right"/>
              <w:rPr/>
            </w:pPr>
            <w:r>
              <w:rPr/>
              <w:t>(211</w:t>
            </w:r>
          </w:p>
        </w:tc>
        <w:tc>
          <w:tcPr>
            <w:tcW w:w="2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878" w:type="dxa"/>
            <w:tcBorders/>
            <w:vAlign w:val="center"/>
          </w:tcPr>
          <w:p>
            <w:pPr>
              <w:pStyle w:val="TableContents"/>
              <w:bidi w:val="0"/>
              <w:spacing w:before="0" w:after="283"/>
              <w:jc w:val="right"/>
              <w:rPr/>
            </w:pPr>
            <w:r>
              <w:rPr/>
              <w:t>3,950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(3,205</w:t>
            </w:r>
          </w:p>
        </w:tc>
        <w:tc>
          <w:tcPr>
            <w:tcW w:w="201"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96" w:type="dxa"/>
            <w:tcBorders/>
            <w:vAlign w:val="center"/>
          </w:tcPr>
          <w:p>
            <w:pPr>
              <w:pStyle w:val="TableContents"/>
              <w:bidi w:val="0"/>
              <w:spacing w:before="0" w:after="283"/>
              <w:jc w:val="right"/>
              <w:rPr/>
            </w:pPr>
            <w:r>
              <w:rPr/>
              <w:t>11,123</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365</w:t>
            </w:r>
          </w:p>
        </w:tc>
        <w:tc>
          <w:tcPr>
            <w:tcW w:w="2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(593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1,060</w:t>
            </w:r>
          </w:p>
        </w:tc>
        <w:tc>
          <w:tcPr>
            <w:tcW w:w="201"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(903</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1"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(loss) before income taxes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708" w:type="dxa"/>
            <w:tcBorders/>
            <w:vAlign w:val="center"/>
          </w:tcPr>
          <w:p>
            <w:pPr>
              <w:pStyle w:val="TableContents"/>
              <w:bidi w:val="0"/>
              <w:spacing w:before="0" w:after="283"/>
              <w:jc w:val="right"/>
              <w:rPr/>
            </w:pPr>
            <w:r>
              <w:rPr/>
              <w:t>154</w:t>
            </w:r>
          </w:p>
        </w:tc>
        <w:tc>
          <w:tcPr>
            <w:tcW w:w="2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878" w:type="dxa"/>
            <w:tcBorders/>
            <w:vAlign w:val="center"/>
          </w:tcPr>
          <w:p>
            <w:pPr>
              <w:pStyle w:val="TableContents"/>
              <w:bidi w:val="0"/>
              <w:spacing w:before="0" w:after="283"/>
              <w:jc w:val="right"/>
              <w:rPr/>
            </w:pPr>
            <w:r>
              <w:rPr/>
              <w:t>3,357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(2,145</w:t>
            </w:r>
          </w:p>
        </w:tc>
        <w:tc>
          <w:tcPr>
            <w:tcW w:w="201"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96" w:type="dxa"/>
            <w:tcBorders/>
            <w:vAlign w:val="center"/>
          </w:tcPr>
          <w:p>
            <w:pPr>
              <w:pStyle w:val="TableContents"/>
              <w:bidi w:val="0"/>
              <w:spacing w:before="0" w:after="283"/>
              <w:jc w:val="right"/>
              <w:rPr/>
            </w:pPr>
            <w:r>
              <w:rPr/>
              <w:t>10,220</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1"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foreign subsidiaries which generate revenues from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non-U.S.-based</w:t>
      </w:r>
    </w:p>
    <w:p>
      <w:pPr>
        <w:pStyle w:val="TextBody"/>
        <w:bidi w:val="0"/>
        <w:spacing w:before="240" w:after="0"/>
        <w:jc w:val="left"/>
        <w:rPr>
          <w:rFonts w:ascii="Times New Roman" w:hAnsi="Times New Roman"/>
          <w:sz w:val="20"/>
        </w:rPr>
      </w:pPr>
      <w:r>
        <w:rPr>
          <w:rFonts w:ascii="Times New Roman" w:hAnsi="Times New Roman"/>
          <w:sz w:val="20"/>
        </w:rPr>
        <w:t xml:space="preserve">clients. Additionally, these subsidiaries provide services to the Company’s U.S. operations. Accordingly, the Company allocates a portion of its income (loss) to these subsidiaries based on a “transfer pricing” model and reports such income (loss) as foreign in the above table.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provision (benefit) for income taxes, as shown in the accompanying Financial Statements, consisted of the following for the three and nine months ended September 30, 2023 and 2022: </w:t>
      </w:r>
    </w:p>
    <w:p>
      <w:pPr>
        <w:pStyle w:val="TextBody"/>
        <w:bidi w:val="0"/>
        <w:spacing w:before="0" w:after="0"/>
        <w:jc w:val="left"/>
        <w:rPr>
          <w:spacing w:val="0"/>
        </w:rPr>
      </w:pPr>
      <w:r>
        <w:rPr>
          <w:spacing w:val="0"/>
        </w:rPr>
        <w:t> </w:t>
      </w:r>
    </w:p>
    <w:tbl>
      <w:tblPr>
        <w:tblW w:w="8869" w:type="dxa"/>
        <w:jc w:val="left"/>
        <w:tblInd w:w="0" w:type="dxa"/>
        <w:tblLayout w:type="fixed"/>
        <w:tblCellMar>
          <w:top w:w="0" w:type="dxa"/>
          <w:left w:w="0" w:type="dxa"/>
          <w:bottom w:w="0" w:type="dxa"/>
          <w:right w:w="0" w:type="dxa"/>
        </w:tblCellMar>
      </w:tblPr>
      <w:tblGrid>
        <w:gridCol w:w="3410"/>
        <w:gridCol w:w="120"/>
        <w:gridCol w:w="269"/>
        <w:gridCol w:w="644"/>
        <w:gridCol w:w="298"/>
        <w:gridCol w:w="230"/>
        <w:gridCol w:w="269"/>
        <w:gridCol w:w="738"/>
        <w:gridCol w:w="155"/>
        <w:gridCol w:w="120"/>
        <w:gridCol w:w="217"/>
        <w:gridCol w:w="708"/>
        <w:gridCol w:w="240"/>
        <w:gridCol w:w="185"/>
        <w:gridCol w:w="217"/>
        <w:gridCol w:w="879"/>
        <w:gridCol w:w="170"/>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0"/>
              <w:jc w:val="center"/>
              <w:rPr>
                <w:b/>
                <w:spacing w:val="0"/>
              </w:rPr>
            </w:pPr>
            <w:r>
              <w:rPr>
                <w:b/>
                <w:spacing w:val="0"/>
              </w:rPr>
              <w:t>2023</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0"/>
              <w:jc w:val="center"/>
              <w:rPr>
                <w:b/>
                <w:spacing w:val="0"/>
              </w:rPr>
            </w:pPr>
            <w:r>
              <w:rPr>
                <w:b/>
                <w:spacing w:val="0"/>
              </w:rPr>
              <w:t>2023</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vAlign w:val="center"/>
          </w:tcPr>
          <w:p>
            <w:pPr>
              <w:pStyle w:val="TableContents"/>
              <w:bidi w:val="0"/>
              <w:spacing w:before="0" w:after="0"/>
              <w:jc w:val="center"/>
              <w:rPr>
                <w:b/>
                <w:spacing w:val="0"/>
              </w:rPr>
            </w:pPr>
            <w:r>
              <w:rPr>
                <w:b/>
                <w:spacing w:val="0"/>
              </w:rPr>
              <w:t>(Amounts in thousands)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(Amounts in thousands)</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provision (benefit):</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73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708"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87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w:t>
            </w:r>
          </w:p>
        </w:tc>
        <w:tc>
          <w:tcPr>
            <w:tcW w:w="644" w:type="dxa"/>
            <w:tcBorders/>
            <w:vAlign w:val="center"/>
          </w:tcPr>
          <w:p>
            <w:pPr>
              <w:pStyle w:val="TableContents"/>
              <w:bidi w:val="0"/>
              <w:spacing w:before="0" w:after="283"/>
              <w:jc w:val="right"/>
              <w:rPr/>
            </w:pPr>
            <w:r>
              <w:rPr/>
              <w:t>(88</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w:t>
            </w:r>
          </w:p>
        </w:tc>
        <w:tc>
          <w:tcPr>
            <w:tcW w:w="738" w:type="dxa"/>
            <w:tcBorders/>
            <w:vAlign w:val="center"/>
          </w:tcPr>
          <w:p>
            <w:pPr>
              <w:pStyle w:val="TableContents"/>
              <w:bidi w:val="0"/>
              <w:spacing w:before="0" w:after="283"/>
              <w:jc w:val="right"/>
              <w:rPr/>
            </w:pPr>
            <w:r>
              <w:rPr/>
              <w:t>806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708" w:type="dxa"/>
            <w:tcBorders/>
            <w:vAlign w:val="center"/>
          </w:tcPr>
          <w:p>
            <w:pPr>
              <w:pStyle w:val="TableContents"/>
              <w:bidi w:val="0"/>
              <w:spacing w:before="0" w:after="283"/>
              <w:jc w:val="right"/>
              <w:rPr/>
            </w:pPr>
            <w:r>
              <w:rPr/>
              <w:t>(271</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879" w:type="dxa"/>
            <w:tcBorders/>
            <w:vAlign w:val="center"/>
          </w:tcPr>
          <w:p>
            <w:pPr>
              <w:pStyle w:val="TableContents"/>
              <w:bidi w:val="0"/>
              <w:spacing w:before="0" w:after="283"/>
              <w:jc w:val="right"/>
              <w:rPr/>
            </w:pPr>
            <w:r>
              <w:rPr/>
              <w:t>1,836</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(9</w:t>
            </w:r>
          </w:p>
        </w:tc>
        <w:tc>
          <w:tcPr>
            <w:tcW w:w="2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25</w:t>
            </w:r>
          </w:p>
        </w:tc>
        <w:tc>
          <w:tcPr>
            <w:tcW w:w="2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446</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right"/>
              <w:rPr/>
            </w:pPr>
            <w:r>
              <w:rPr/>
              <w:t>93</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238</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provision (benefit)</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644" w:type="dxa"/>
            <w:tcBorders/>
            <w:shd w:fill="CCEEFF" w:val="clear"/>
            <w:vAlign w:val="center"/>
          </w:tcPr>
          <w:p>
            <w:pPr>
              <w:pStyle w:val="TableContents"/>
              <w:bidi w:val="0"/>
              <w:spacing w:before="0" w:after="283"/>
              <w:jc w:val="right"/>
              <w:rPr/>
            </w:pPr>
            <w:r>
              <w:rPr/>
              <w:t>(4</w:t>
            </w:r>
          </w:p>
        </w:tc>
        <w:tc>
          <w:tcPr>
            <w:tcW w:w="2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938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708" w:type="dxa"/>
            <w:tcBorders/>
            <w:shd w:fill="CCEEFF" w:val="clear"/>
            <w:vAlign w:val="center"/>
          </w:tcPr>
          <w:p>
            <w:pPr>
              <w:pStyle w:val="TableContents"/>
              <w:bidi w:val="0"/>
              <w:spacing w:before="0" w:after="283"/>
              <w:jc w:val="right"/>
              <w:rPr/>
            </w:pPr>
            <w:r>
              <w:rPr/>
              <w:t>(8</w:t>
            </w:r>
          </w:p>
        </w:tc>
        <w:tc>
          <w:tcPr>
            <w:tcW w:w="2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2,278</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provision (benefit):</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25</w:t>
            </w:r>
          </w:p>
        </w:tc>
        <w:tc>
          <w:tcPr>
            <w:tcW w:w="2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(377</w:t>
            </w:r>
          </w:p>
        </w:tc>
        <w:tc>
          <w:tcPr>
            <w:tcW w:w="2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496</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right"/>
              <w:rPr/>
            </w:pPr>
            <w:r>
              <w:rPr/>
              <w:t>7</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(91</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118</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4</w:t>
            </w:r>
          </w:p>
        </w:tc>
        <w:tc>
          <w:tcPr>
            <w:tcW w:w="2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64</w:t>
            </w:r>
          </w:p>
        </w:tc>
        <w:tc>
          <w:tcPr>
            <w:tcW w:w="2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(118</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provision (benefit)</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right"/>
              <w:rPr/>
            </w:pPr>
            <w:r>
              <w:rPr/>
              <w:t>36</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(404</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right"/>
              <w:rPr/>
            </w:pPr>
            <w:r>
              <w:rPr/>
              <w:t>496</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(3</w:t>
            </w:r>
          </w:p>
        </w:tc>
        <w:tc>
          <w:tcPr>
            <w:tcW w:w="2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54</w:t>
            </w:r>
          </w:p>
        </w:tc>
        <w:tc>
          <w:tcPr>
            <w:tcW w:w="2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272</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provision (benefit) for income taxes</w:t>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w:t>
            </w:r>
          </w:p>
        </w:tc>
        <w:tc>
          <w:tcPr>
            <w:tcW w:w="644" w:type="dxa"/>
            <w:tcBorders/>
            <w:vAlign w:val="center"/>
          </w:tcPr>
          <w:p>
            <w:pPr>
              <w:pStyle w:val="TableContents"/>
              <w:bidi w:val="0"/>
              <w:spacing w:before="0" w:after="283"/>
              <w:jc w:val="right"/>
              <w:rPr/>
            </w:pPr>
            <w:r>
              <w:rPr/>
              <w:t>29</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w:t>
            </w:r>
          </w:p>
        </w:tc>
        <w:tc>
          <w:tcPr>
            <w:tcW w:w="738" w:type="dxa"/>
            <w:tcBorders/>
            <w:vAlign w:val="center"/>
          </w:tcPr>
          <w:p>
            <w:pPr>
              <w:pStyle w:val="TableContents"/>
              <w:bidi w:val="0"/>
              <w:spacing w:before="0" w:after="283"/>
              <w:jc w:val="right"/>
              <w:rPr/>
            </w:pPr>
            <w:r>
              <w:rPr/>
              <w:t>951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708" w:type="dxa"/>
            <w:tcBorders/>
            <w:vAlign w:val="center"/>
          </w:tcPr>
          <w:p>
            <w:pPr>
              <w:pStyle w:val="TableContents"/>
              <w:bidi w:val="0"/>
              <w:spacing w:before="0" w:after="283"/>
              <w:jc w:val="right"/>
              <w:rPr/>
            </w:pPr>
            <w:r>
              <w:rPr/>
              <w:t>(358</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879" w:type="dxa"/>
            <w:tcBorders/>
            <w:vAlign w:val="center"/>
          </w:tcPr>
          <w:p>
            <w:pPr>
              <w:pStyle w:val="TableContents"/>
              <w:bidi w:val="0"/>
              <w:spacing w:before="0" w:after="283"/>
              <w:jc w:val="right"/>
              <w:rPr/>
            </w:pPr>
            <w:r>
              <w:rPr/>
              <w:t>3,046</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reconciliation of income taxes computed using the statutory U.S. income tax rate and the provision (benefit) for income taxes for the three and nine months ended September 30, 2023 and 2022 were as follows (amounts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040"/>
        <w:gridCol w:w="120"/>
        <w:gridCol w:w="238"/>
        <w:gridCol w:w="648"/>
        <w:gridCol w:w="264"/>
        <w:gridCol w:w="204"/>
        <w:gridCol w:w="102"/>
        <w:gridCol w:w="754"/>
        <w:gridCol w:w="275"/>
        <w:gridCol w:w="60"/>
        <w:gridCol w:w="238"/>
        <w:gridCol w:w="648"/>
        <w:gridCol w:w="264"/>
        <w:gridCol w:w="204"/>
        <w:gridCol w:w="102"/>
        <w:gridCol w:w="754"/>
        <w:gridCol w:w="290"/>
      </w:tblGrid>
      <w:tr>
        <w:trPr/>
        <w:tc>
          <w:tcPr>
            <w:tcW w:w="5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0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 2022</w:t>
            </w:r>
          </w:p>
        </w:tc>
        <w:tc>
          <w:tcPr>
            <w:tcW w:w="290" w:type="dxa"/>
            <w:tcBorders/>
            <w:vAlign w:val="center"/>
          </w:tcPr>
          <w:p>
            <w:pPr>
              <w:pStyle w:val="TableContents"/>
              <w:bidi w:val="0"/>
              <w:spacing w:before="0" w:after="283"/>
              <w:jc w:val="left"/>
              <w:rPr/>
            </w:pPr>
            <w:r>
              <w:rPr/>
              <w:t> </w:t>
            </w:r>
          </w:p>
        </w:tc>
      </w:tr>
      <w:tr>
        <w:trPr/>
        <w:tc>
          <w:tcPr>
            <w:tcW w:w="50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taxes computed at the federal statutory rate</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648" w:type="dxa"/>
            <w:tcBorders/>
            <w:shd w:fill="CCEEFF" w:val="clear"/>
            <w:vAlign w:val="center"/>
          </w:tcPr>
          <w:p>
            <w:pPr>
              <w:pStyle w:val="TableContents"/>
              <w:bidi w:val="0"/>
              <w:spacing w:before="0" w:after="283"/>
              <w:jc w:val="right"/>
              <w:rPr/>
            </w:pPr>
            <w:r>
              <w:rPr/>
              <w:t>33</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21.0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648" w:type="dxa"/>
            <w:tcBorders/>
            <w:shd w:fill="CCEEFF" w:val="clear"/>
            <w:vAlign w:val="center"/>
          </w:tcPr>
          <w:p>
            <w:pPr>
              <w:pStyle w:val="TableContents"/>
              <w:bidi w:val="0"/>
              <w:spacing w:before="0" w:after="283"/>
              <w:jc w:val="right"/>
              <w:rPr/>
            </w:pPr>
            <w:r>
              <w:rPr/>
              <w:t>705</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 </w:t>
            </w:r>
          </w:p>
        </w:tc>
      </w:tr>
      <w:tr>
        <w:trPr/>
        <w:tc>
          <w:tcPr>
            <w:tcW w:w="50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 income taxes, net of federal tax benefit</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168</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5.0</w:t>
            </w:r>
          </w:p>
        </w:tc>
        <w:tc>
          <w:tcPr>
            <w:tcW w:w="290" w:type="dxa"/>
            <w:tcBorders/>
            <w:vAlign w:val="center"/>
          </w:tcPr>
          <w:p>
            <w:pPr>
              <w:pStyle w:val="TableContents"/>
              <w:bidi w:val="0"/>
              <w:spacing w:before="0" w:after="283"/>
              <w:jc w:val="left"/>
              <w:rPr/>
            </w:pPr>
            <w:r>
              <w:rPr/>
              <w:t> </w:t>
            </w:r>
          </w:p>
        </w:tc>
      </w:tr>
      <w:tr>
        <w:trPr/>
        <w:tc>
          <w:tcPr>
            <w:tcW w:w="50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Excess tax expense (benefit) from stock options/restricted shares</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19</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 </w:t>
            </w:r>
          </w:p>
        </w:tc>
      </w:tr>
      <w:tr>
        <w:trPr/>
        <w:tc>
          <w:tcPr>
            <w:tcW w:w="50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Difference in income tax rate on foreign earnings/other</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1</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(9</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(0.3</w:t>
            </w:r>
          </w:p>
        </w:tc>
        <w:tc>
          <w:tcPr>
            <w:tcW w:w="290" w:type="dxa"/>
            <w:tcBorders/>
            <w:vAlign w:val="center"/>
          </w:tcPr>
          <w:p>
            <w:pPr>
              <w:pStyle w:val="TableContents"/>
              <w:bidi w:val="0"/>
              <w:spacing w:before="0" w:after="283"/>
              <w:jc w:val="left"/>
              <w:rPr/>
            </w:pPr>
            <w:r>
              <w:rPr/>
              <w:t>) </w:t>
            </w:r>
          </w:p>
        </w:tc>
      </w:tr>
      <w:tr>
        <w:trPr/>
        <w:tc>
          <w:tcPr>
            <w:tcW w:w="50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(3</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68</w:t>
            </w:r>
          </w:p>
        </w:tc>
        <w:tc>
          <w:tcPr>
            <w:tcW w:w="2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2.0</w:t>
            </w:r>
          </w:p>
        </w:tc>
        <w:tc>
          <w:tcPr>
            <w:tcW w:w="290" w:type="dxa"/>
            <w:tcBorders/>
            <w:shd w:fill="CCEEFF" w:val="clear"/>
            <w:vAlign w:val="center"/>
          </w:tcPr>
          <w:p>
            <w:pPr>
              <w:pStyle w:val="TableContents"/>
              <w:bidi w:val="0"/>
              <w:spacing w:before="0" w:after="283"/>
              <w:jc w:val="left"/>
              <w:rPr/>
            </w:pPr>
            <w:r>
              <w:rPr/>
              <w:t> </w:t>
            </w:r>
          </w:p>
        </w:tc>
      </w:tr>
      <w:tr>
        <w:trPr/>
        <w:tc>
          <w:tcPr>
            <w:tcW w:w="5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5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648" w:type="dxa"/>
            <w:tcBorders/>
            <w:vAlign w:val="center"/>
          </w:tcPr>
          <w:p>
            <w:pPr>
              <w:pStyle w:val="TableContents"/>
              <w:bidi w:val="0"/>
              <w:spacing w:before="0" w:after="283"/>
              <w:jc w:val="right"/>
              <w:rPr/>
            </w:pPr>
            <w:r>
              <w:rPr/>
              <w:t>29</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18.8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648" w:type="dxa"/>
            <w:tcBorders/>
            <w:vAlign w:val="center"/>
          </w:tcPr>
          <w:p>
            <w:pPr>
              <w:pStyle w:val="TableContents"/>
              <w:bidi w:val="0"/>
              <w:spacing w:before="0" w:after="283"/>
              <w:jc w:val="right"/>
              <w:rPr/>
            </w:pPr>
            <w:r>
              <w:rPr/>
              <w:t>951</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28.3</w:t>
            </w:r>
          </w:p>
        </w:tc>
        <w:tc>
          <w:tcPr>
            <w:tcW w:w="290" w:type="dxa"/>
            <w:tcBorders/>
            <w:vAlign w:val="center"/>
          </w:tcPr>
          <w:p>
            <w:pPr>
              <w:pStyle w:val="TableContents"/>
              <w:bidi w:val="0"/>
              <w:spacing w:before="0" w:after="283"/>
              <w:jc w:val="left"/>
              <w:rPr/>
            </w:pPr>
            <w:r>
              <w:rPr/>
              <w:t>% </w:t>
            </w:r>
          </w:p>
        </w:tc>
      </w:tr>
      <w:tr>
        <w:trPr/>
        <w:tc>
          <w:tcPr>
            <w:tcW w:w="5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6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235"/>
        <w:gridCol w:w="120"/>
        <w:gridCol w:w="201"/>
        <w:gridCol w:w="653"/>
        <w:gridCol w:w="222"/>
        <w:gridCol w:w="172"/>
        <w:gridCol w:w="86"/>
        <w:gridCol w:w="741"/>
        <w:gridCol w:w="349"/>
        <w:gridCol w:w="60"/>
        <w:gridCol w:w="210"/>
        <w:gridCol w:w="842"/>
        <w:gridCol w:w="90"/>
        <w:gridCol w:w="180"/>
        <w:gridCol w:w="90"/>
        <w:gridCol w:w="663"/>
        <w:gridCol w:w="291"/>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 2023</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 2022</w:t>
            </w:r>
          </w:p>
        </w:tc>
        <w:tc>
          <w:tcPr>
            <w:tcW w:w="291" w:type="dxa"/>
            <w:tcBorders/>
            <w:vAlign w:val="center"/>
          </w:tcPr>
          <w:p>
            <w:pPr>
              <w:pStyle w:val="TableContents"/>
              <w:bidi w:val="0"/>
              <w:spacing w:before="0" w:after="283"/>
              <w:jc w:val="left"/>
              <w:rPr/>
            </w:pPr>
            <w:r>
              <w:rPr/>
              <w:t> </w:t>
            </w:r>
          </w:p>
        </w:tc>
      </w:tr>
      <w:tr>
        <w:trPr/>
        <w:tc>
          <w:tcPr>
            <w:tcW w:w="5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computed at the federal statutory rate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(450</w:t>
            </w:r>
          </w:p>
        </w:tc>
        <w:tc>
          <w:tcPr>
            <w:tcW w:w="22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(21.0</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2,146</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21.0</w:t>
            </w:r>
          </w:p>
        </w:tc>
        <w:tc>
          <w:tcPr>
            <w:tcW w:w="291" w:type="dxa"/>
            <w:tcBorders/>
            <w:shd w:fill="CCEEFF" w:val="clear"/>
            <w:vAlign w:val="center"/>
          </w:tcPr>
          <w:p>
            <w:pPr>
              <w:pStyle w:val="TableContents"/>
              <w:bidi w:val="0"/>
              <w:spacing w:before="0" w:after="283"/>
              <w:jc w:val="left"/>
              <w:rPr/>
            </w:pPr>
            <w:r>
              <w:rPr/>
              <w:t>% </w:t>
            </w:r>
          </w:p>
        </w:tc>
      </w:tr>
      <w:tr>
        <w:trPr/>
        <w:tc>
          <w:tcPr>
            <w:tcW w:w="5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tax benefit</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(74</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(3.5</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554</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pPr>
            <w:r>
              <w:rPr/>
              <w:t>5.4</w:t>
            </w:r>
          </w:p>
        </w:tc>
        <w:tc>
          <w:tcPr>
            <w:tcW w:w="291" w:type="dxa"/>
            <w:tcBorders/>
            <w:vAlign w:val="center"/>
          </w:tcPr>
          <w:p>
            <w:pPr>
              <w:pStyle w:val="TableContents"/>
              <w:bidi w:val="0"/>
              <w:spacing w:before="0" w:after="283"/>
              <w:jc w:val="left"/>
              <w:rPr/>
            </w:pPr>
            <w:r>
              <w:rPr/>
              <w:t> </w:t>
            </w:r>
          </w:p>
        </w:tc>
      </w:tr>
      <w:tr>
        <w:trPr/>
        <w:tc>
          <w:tcPr>
            <w:tcW w:w="5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Excess tax expense (benefit) from stock options/restricted shares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40</w:t>
            </w:r>
          </w:p>
        </w:tc>
        <w:tc>
          <w:tcPr>
            <w:tcW w:w="22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1.9</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10</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0.1</w:t>
            </w:r>
          </w:p>
        </w:tc>
        <w:tc>
          <w:tcPr>
            <w:tcW w:w="291" w:type="dxa"/>
            <w:tcBorders/>
            <w:shd w:fill="CCEEFF" w:val="clear"/>
            <w:vAlign w:val="center"/>
          </w:tcPr>
          <w:p>
            <w:pPr>
              <w:pStyle w:val="TableContents"/>
              <w:bidi w:val="0"/>
              <w:spacing w:before="0" w:after="283"/>
              <w:jc w:val="left"/>
              <w:rPr/>
            </w:pPr>
            <w:r>
              <w:rPr/>
              <w:t> </w:t>
            </w:r>
          </w:p>
        </w:tc>
      </w:tr>
      <w:tr>
        <w:trPr/>
        <w:tc>
          <w:tcPr>
            <w:tcW w:w="5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Difference in income tax rate on foreign earnings/other</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72</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3.4</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64</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pPr>
            <w:r>
              <w:rPr/>
              <w:t>0.6</w:t>
            </w:r>
          </w:p>
        </w:tc>
        <w:tc>
          <w:tcPr>
            <w:tcW w:w="291" w:type="dxa"/>
            <w:tcBorders/>
            <w:vAlign w:val="center"/>
          </w:tcPr>
          <w:p>
            <w:pPr>
              <w:pStyle w:val="TableContents"/>
              <w:bidi w:val="0"/>
              <w:spacing w:before="0" w:after="283"/>
              <w:jc w:val="left"/>
              <w:rPr/>
            </w:pPr>
            <w:r>
              <w:rPr/>
              <w:t> </w:t>
            </w:r>
          </w:p>
        </w:tc>
      </w:tr>
      <w:tr>
        <w:trPr/>
        <w:tc>
          <w:tcPr>
            <w:tcW w:w="5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54</w:t>
            </w:r>
          </w:p>
        </w:tc>
        <w:tc>
          <w:tcPr>
            <w:tcW w:w="22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2.5</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272</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2.7</w:t>
            </w:r>
          </w:p>
        </w:tc>
        <w:tc>
          <w:tcPr>
            <w:tcW w:w="291" w:type="dxa"/>
            <w:tcBorders/>
            <w:shd w:fill="CCEEFF" w:val="clear"/>
            <w:vAlign w:val="center"/>
          </w:tcPr>
          <w:p>
            <w:pPr>
              <w:pStyle w:val="TableContents"/>
              <w:bidi w:val="0"/>
              <w:spacing w:before="0" w:after="283"/>
              <w:jc w:val="left"/>
              <w:rPr/>
            </w:pPr>
            <w:r>
              <w:rPr/>
              <w:t> </w:t>
            </w:r>
          </w:p>
        </w:tc>
      </w:tr>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653" w:type="dxa"/>
            <w:tcBorders/>
            <w:vAlign w:val="center"/>
          </w:tcPr>
          <w:p>
            <w:pPr>
              <w:pStyle w:val="TableContents"/>
              <w:bidi w:val="0"/>
              <w:spacing w:before="0" w:after="0"/>
              <w:jc w:val="left"/>
              <w:rPr>
                <w:bdr w:val="single" w:sz="2" w:space="1" w:color="000000"/>
              </w:rPr>
            </w:pPr>
            <w:r>
              <w:rPr>
                <w:bdr w:val="single" w:sz="2" w:space="1" w:color="000000"/>
              </w:rPr>
              <w:t> </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741" w:type="dxa"/>
            <w:tcBorders/>
            <w:vAlign w:val="center"/>
          </w:tcPr>
          <w:p>
            <w:pPr>
              <w:pStyle w:val="TableContents"/>
              <w:bidi w:val="0"/>
              <w:spacing w:before="0" w:after="0"/>
              <w:jc w:val="left"/>
              <w:rPr>
                <w:bdr w:val="single" w:sz="2" w:space="1" w:color="000000"/>
              </w:rPr>
            </w:pPr>
            <w:r>
              <w:rPr>
                <w:bdr w:val="single" w:sz="2" w:space="1" w:color="000000"/>
              </w:rPr>
              <w:t> </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842" w:type="dxa"/>
            <w:tcBorders/>
            <w:vAlign w:val="center"/>
          </w:tcPr>
          <w:p>
            <w:pPr>
              <w:pStyle w:val="TableContents"/>
              <w:bidi w:val="0"/>
              <w:spacing w:before="0" w:after="0"/>
              <w:jc w:val="left"/>
              <w:rPr>
                <w:bdr w:val="single" w:sz="2" w:space="1" w:color="000000"/>
              </w:rPr>
            </w:pPr>
            <w:r>
              <w:rPr>
                <w:bdr w:val="single" w:sz="2" w:space="1" w:color="000000"/>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663" w:type="dxa"/>
            <w:tcBorders/>
            <w:vAlign w:val="center"/>
          </w:tcPr>
          <w:p>
            <w:pPr>
              <w:pStyle w:val="TableContents"/>
              <w:bidi w:val="0"/>
              <w:spacing w:before="0" w:after="0"/>
              <w:jc w:val="left"/>
              <w:rPr>
                <w:bdr w:val="single" w:sz="2" w:space="1" w:color="000000"/>
              </w:rPr>
            </w:pPr>
            <w:r>
              <w:rPr>
                <w:bdr w:val="single" w:sz="2" w:space="1" w:color="000000"/>
              </w:rPr>
              <w:t> </w:t>
            </w:r>
          </w:p>
        </w:tc>
        <w:tc>
          <w:tcPr>
            <w:tcW w:w="291" w:type="dxa"/>
            <w:tcBorders/>
            <w:vAlign w:val="center"/>
          </w:tcPr>
          <w:p>
            <w:pPr>
              <w:pStyle w:val="TableContents"/>
              <w:bidi w:val="0"/>
              <w:spacing w:before="0" w:after="283"/>
              <w:jc w:val="left"/>
              <w:rPr/>
            </w:pPr>
            <w:r>
              <w:rPr/>
              <w:t> </w:t>
            </w:r>
          </w:p>
        </w:tc>
      </w:tr>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653" w:type="dxa"/>
            <w:tcBorders/>
            <w:vAlign w:val="center"/>
          </w:tcPr>
          <w:p>
            <w:pPr>
              <w:pStyle w:val="TableContents"/>
              <w:bidi w:val="0"/>
              <w:spacing w:before="0" w:after="283"/>
              <w:jc w:val="right"/>
              <w:rPr/>
            </w:pPr>
            <w:r>
              <w:rPr/>
              <w:t>(358</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(16.7</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842" w:type="dxa"/>
            <w:tcBorders/>
            <w:vAlign w:val="center"/>
          </w:tcPr>
          <w:p>
            <w:pPr>
              <w:pStyle w:val="TableContents"/>
              <w:bidi w:val="0"/>
              <w:spacing w:before="0" w:after="283"/>
              <w:jc w:val="right"/>
              <w:rPr/>
            </w:pPr>
            <w:r>
              <w:rPr/>
              <w:t>3,046</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pPr>
            <w:r>
              <w:rPr/>
              <w:t>29.8</w:t>
            </w:r>
          </w:p>
        </w:tc>
        <w:tc>
          <w:tcPr>
            <w:tcW w:w="291" w:type="dxa"/>
            <w:tcBorders/>
            <w:vAlign w:val="center"/>
          </w:tcPr>
          <w:p>
            <w:pPr>
              <w:pStyle w:val="TableContents"/>
              <w:bidi w:val="0"/>
              <w:spacing w:before="0" w:after="283"/>
              <w:jc w:val="left"/>
              <w:rPr/>
            </w:pPr>
            <w:r>
              <w:rPr/>
              <w:t>% </w:t>
            </w:r>
          </w:p>
        </w:tc>
      </w:tr>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double" w:sz="6" w:space="1" w:color="000000"/>
              </w:rPr>
            </w:pPr>
            <w:r>
              <w:rPr>
                <w:bdr w:val="double" w:sz="6" w:space="1" w:color="000000"/>
              </w:rPr>
              <w:t> </w:t>
            </w:r>
          </w:p>
        </w:tc>
        <w:tc>
          <w:tcPr>
            <w:tcW w:w="653" w:type="dxa"/>
            <w:tcBorders/>
            <w:vAlign w:val="center"/>
          </w:tcPr>
          <w:p>
            <w:pPr>
              <w:pStyle w:val="TableContents"/>
              <w:bidi w:val="0"/>
              <w:spacing w:before="0" w:after="0"/>
              <w:jc w:val="left"/>
              <w:rPr>
                <w:bdr w:val="double" w:sz="6" w:space="1" w:color="000000"/>
              </w:rPr>
            </w:pPr>
            <w:r>
              <w:rPr>
                <w:bdr w:val="double" w:sz="6" w:space="1" w:color="000000"/>
              </w:rPr>
              <w:t> </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741" w:type="dxa"/>
            <w:tcBorders/>
            <w:vAlign w:val="center"/>
          </w:tcPr>
          <w:p>
            <w:pPr>
              <w:pStyle w:val="TableContents"/>
              <w:bidi w:val="0"/>
              <w:spacing w:before="0" w:after="0"/>
              <w:jc w:val="left"/>
              <w:rPr>
                <w:bdr w:val="double" w:sz="6" w:space="1" w:color="000000"/>
              </w:rPr>
            </w:pPr>
            <w:r>
              <w:rPr>
                <w:bdr w:val="double" w:sz="6" w:space="1" w:color="000000"/>
              </w:rPr>
              <w:t> </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842" w:type="dxa"/>
            <w:tcBorders/>
            <w:vAlign w:val="center"/>
          </w:tcPr>
          <w:p>
            <w:pPr>
              <w:pStyle w:val="TableContents"/>
              <w:bidi w:val="0"/>
              <w:spacing w:before="0" w:after="0"/>
              <w:jc w:val="left"/>
              <w:rPr>
                <w:bdr w:val="double" w:sz="6" w:space="1" w:color="000000"/>
              </w:rPr>
            </w:pPr>
            <w:r>
              <w:rPr>
                <w:bdr w:val="double" w:sz="6" w:space="1" w:color="000000"/>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double" w:sz="6" w:space="1" w:color="000000"/>
              </w:rPr>
            </w:pPr>
            <w:r>
              <w:rPr>
                <w:bdr w:val="double" w:sz="6" w:space="1" w:color="000000"/>
              </w:rPr>
              <w:t> </w:t>
            </w:r>
          </w:p>
        </w:tc>
        <w:tc>
          <w:tcPr>
            <w:tcW w:w="663" w:type="dxa"/>
            <w:tcBorders/>
            <w:vAlign w:val="center"/>
          </w:tcPr>
          <w:p>
            <w:pPr>
              <w:pStyle w:val="TableContents"/>
              <w:bidi w:val="0"/>
              <w:spacing w:before="0" w:after="0"/>
              <w:jc w:val="left"/>
              <w:rPr>
                <w:bdr w:val="double" w:sz="6" w:space="1" w:color="000000"/>
              </w:rPr>
            </w:pPr>
            <w:r>
              <w:rPr>
                <w:bdr w:val="double" w:sz="6" w:space="1" w:color="000000"/>
              </w:rPr>
              <w:t> </w:t>
            </w:r>
          </w:p>
        </w:tc>
        <w:tc>
          <w:tcPr>
            <w:tcW w:w="29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September 30, 2023, our valuation allowance was comprised of balances within locations of Singapore, Ireland and the United Kingdom. The valuation allowance balances at these locations totaled $613,000 and $559,000 as of September 30, 2023, and December 31, 2022, respectively, and reflect net operating losses which may not be realizable in the future. In the third quarter of 2022, the Company decided to close the Singapore and Ireland operations.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Company’s Canadian subsidiary is currently under audit by Revenue Canada for the years 2018 and 2019. </w:t>
      </w:r>
    </w:p>
    <w:p>
      <w:pPr>
        <w:pStyle w:val="TextBody"/>
        <w:bidi w:val="0"/>
        <w:spacing w:before="0" w:after="0"/>
        <w:jc w:val="left"/>
        <w:rPr>
          <w:shd w:fill="FFFFFF" w:val="clear"/>
        </w:rPr>
      </w:pPr>
      <w:r>
        <w:rPr>
          <w:shd w:fill="FFFFFF" w:val="clear"/>
        </w:rPr>
        <w:t> </w:t>
      </w:r>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0"/>
              <w:jc w:val="left"/>
              <w:rPr>
                <w:b/>
                <w:spacing w:val="0"/>
              </w:rPr>
            </w:pPr>
            <w:r>
              <w:rPr>
                <w:b/>
                <w:spacing w:val="0"/>
              </w:rPr>
              <w:t>10.</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Shareholders’ Equity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February 8, 2023, the Company announced that the Board of Directors authorized a share repurchase program of up to 500,000 shares of the Company’s common stock over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two-year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the three months ended September 30, 2023, the Company did not repurchase any shares of common stock. During the nine months ended September 30, 2023, the Company repurchased 62,361 shares of common stock at an average price of $9.15 per share under this program.</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Additionally, the Company makes stock purchases from time to time to satisfy employee tax obligations related to its Stock Incentive Plan. The Company did not purchase any shares to satisfy employee tax obligations during the nine months ended September 30, 2023 and 2022. </w:t>
      </w:r>
    </w:p>
    <w:p>
      <w:pPr>
        <w:pStyle w:val="TextBody"/>
        <w:bidi w:val="0"/>
        <w:spacing w:before="0" w:after="0"/>
        <w:jc w:val="left"/>
        <w:rPr>
          <w:shd w:fill="FFFFFF" w:val="clear"/>
        </w:rPr>
      </w:pPr>
      <w:r>
        <w:rPr>
          <w:shd w:fill="FFFFFF" w:val="clear"/>
        </w:rPr>
        <w:t> </w:t>
      </w:r>
    </w:p>
    <w:tbl>
      <w:tblPr>
        <w:tblW w:w="2635" w:type="dxa"/>
        <w:jc w:val="left"/>
        <w:tblInd w:w="0" w:type="dxa"/>
        <w:tblLayout w:type="fixed"/>
        <w:tblCellMar>
          <w:top w:w="0" w:type="dxa"/>
          <w:left w:w="0" w:type="dxa"/>
          <w:bottom w:w="0" w:type="dxa"/>
          <w:right w:w="0" w:type="dxa"/>
        </w:tblCellMar>
      </w:tblPr>
      <w:tblGrid>
        <w:gridCol w:w="335"/>
        <w:gridCol w:w="2300"/>
      </w:tblGrid>
      <w:tr>
        <w:trPr/>
        <w:tc>
          <w:tcPr>
            <w:tcW w:w="335" w:type="dxa"/>
            <w:tcBorders/>
            <w:vAlign w:val="center"/>
          </w:tcPr>
          <w:p>
            <w:pPr>
              <w:pStyle w:val="TableContents"/>
              <w:bidi w:val="0"/>
              <w:spacing w:before="0" w:after="0"/>
              <w:jc w:val="left"/>
              <w:rPr>
                <w:b/>
                <w:spacing w:val="0"/>
              </w:rPr>
            </w:pPr>
            <w:r>
              <w:rPr>
                <w:b/>
                <w:spacing w:val="0"/>
              </w:rPr>
              <w:t>11.</w:t>
            </w:r>
          </w:p>
        </w:tc>
        <w:tc>
          <w:tcPr>
            <w:tcW w:w="23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Earnings (Loss) Per Share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computation of basic earnings (loss) per share is based on the Company’s net income (loss) divided by the weighted average number of shares of Common Stock outstanding. Diluted earnings (loss) per share reflect the potential dilution that could occur if outstanding stock options were exercised. The dilutive effect of stock options was calculated using the treasury stock method.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months ended September 30, 2023, there were 1,473,000 anti-dilutive stock options excluded from the computation of diluted earnings per share. For the nine months ended September 30, 2023, all stock options and restricted shares were anti-dilutive and excluded from the computation of diluted (loss) per share. For the three and nine months ended September 30, 2022, there were 644,000 and 549,000 anti-dilutive stock options excluded from the computation of diluted earnings per share. </w:t>
      </w:r>
    </w:p>
    <w:p>
      <w:pPr>
        <w:pStyle w:val="TextBody"/>
        <w:bidi w:val="0"/>
        <w:spacing w:before="0" w:after="0"/>
        <w:jc w:val="left"/>
        <w:rPr>
          <w:shd w:fill="FFFFFF" w:val="clear"/>
        </w:rPr>
      </w:pPr>
      <w:r>
        <w:rPr>
          <w:shd w:fill="FFFFFF" w:val="clear"/>
        </w:rPr>
        <w:t> </w:t>
      </w:r>
    </w:p>
    <w:tbl>
      <w:tblPr>
        <w:tblW w:w="4465" w:type="dxa"/>
        <w:jc w:val="left"/>
        <w:tblInd w:w="0" w:type="dxa"/>
        <w:tblLayout w:type="fixed"/>
        <w:tblCellMar>
          <w:top w:w="0" w:type="dxa"/>
          <w:left w:w="0" w:type="dxa"/>
          <w:bottom w:w="0" w:type="dxa"/>
          <w:right w:w="0" w:type="dxa"/>
        </w:tblCellMar>
      </w:tblPr>
      <w:tblGrid>
        <w:gridCol w:w="335"/>
        <w:gridCol w:w="4130"/>
      </w:tblGrid>
      <w:tr>
        <w:trPr/>
        <w:tc>
          <w:tcPr>
            <w:tcW w:w="335" w:type="dxa"/>
            <w:tcBorders/>
            <w:vAlign w:val="center"/>
          </w:tcPr>
          <w:p>
            <w:pPr>
              <w:pStyle w:val="TableContents"/>
              <w:bidi w:val="0"/>
              <w:spacing w:before="0" w:after="0"/>
              <w:jc w:val="left"/>
              <w:rPr>
                <w:b/>
                <w:spacing w:val="0"/>
              </w:rPr>
            </w:pPr>
            <w:r>
              <w:rPr>
                <w:b/>
                <w:spacing w:val="0"/>
              </w:rPr>
              <w:t>12.</w:t>
            </w:r>
          </w:p>
        </w:tc>
        <w:tc>
          <w:tcPr>
            <w:tcW w:w="41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Segments and Geographic Information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Our reporting segments are: 1) Data and Analytics Services; and 2) IT Staffing Services.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Project-based delivery reflects a combination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on-site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IT Staffing Services segment offers staffing services in digital and mainstream technologies, engineering services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 </w:t>
      </w:r>
    </w:p>
    <w:p>
      <w:pPr>
        <w:pStyle w:val="TextBody"/>
        <w:bidi w:val="0"/>
        <w:spacing w:before="0" w:after="0"/>
        <w:jc w:val="left"/>
        <w:rPr>
          <w:shd w:fill="FFFFFF" w:val="clear"/>
        </w:rPr>
      </w:pPr>
      <w:r>
        <w:rPr>
          <w:shd w:fill="FFFFFF" w:val="clear"/>
        </w:rPr>
        <w:t> </w:t>
      </w:r>
    </w:p>
    <w:tbl>
      <w:tblPr>
        <w:tblW w:w="9561" w:type="dxa"/>
        <w:jc w:val="left"/>
        <w:tblInd w:w="0" w:type="dxa"/>
        <w:tblLayout w:type="fixed"/>
        <w:tblCellMar>
          <w:top w:w="0" w:type="dxa"/>
          <w:left w:w="0" w:type="dxa"/>
          <w:bottom w:w="0" w:type="dxa"/>
          <w:right w:w="0" w:type="dxa"/>
        </w:tblCellMar>
      </w:tblPr>
      <w:tblGrid>
        <w:gridCol w:w="3920"/>
        <w:gridCol w:w="120"/>
        <w:gridCol w:w="172"/>
        <w:gridCol w:w="841"/>
        <w:gridCol w:w="339"/>
        <w:gridCol w:w="74"/>
        <w:gridCol w:w="172"/>
        <w:gridCol w:w="850"/>
        <w:gridCol w:w="275"/>
        <w:gridCol w:w="60"/>
        <w:gridCol w:w="154"/>
        <w:gridCol w:w="884"/>
        <w:gridCol w:w="303"/>
        <w:gridCol w:w="66"/>
        <w:gridCol w:w="154"/>
        <w:gridCol w:w="887"/>
        <w:gridCol w:w="290"/>
      </w:tblGrid>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29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3" w:type="dxa"/>
            <w:gridSpan w:val="2"/>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41"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8" w:type="dxa"/>
            <w:gridSpan w:val="6"/>
            <w:tcBorders/>
            <w:vAlign w:val="center"/>
          </w:tcPr>
          <w:p>
            <w:pPr>
              <w:pStyle w:val="TableContents"/>
              <w:bidi w:val="0"/>
              <w:spacing w:before="0" w:after="0"/>
              <w:jc w:val="center"/>
              <w:rPr>
                <w:b/>
                <w:spacing w:val="0"/>
              </w:rPr>
            </w:pPr>
            <w:r>
              <w:rPr>
                <w:b/>
                <w:spacing w:val="0"/>
              </w:rPr>
              <w:t>(Amounts in thousands)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vAlign w:val="center"/>
          </w:tcPr>
          <w:p>
            <w:pPr>
              <w:pStyle w:val="TableContents"/>
              <w:bidi w:val="0"/>
              <w:spacing w:before="0" w:after="0"/>
              <w:jc w:val="center"/>
              <w:rPr>
                <w:b/>
                <w:spacing w:val="0"/>
              </w:rPr>
            </w:pPr>
            <w:r>
              <w:rPr>
                <w:b/>
                <w:spacing w:val="0"/>
              </w:rPr>
              <w:t>(Amounts in thousands)</w:t>
            </w:r>
          </w:p>
        </w:tc>
        <w:tc>
          <w:tcPr>
            <w:tcW w:w="29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8,038</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10,076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4" w:type="dxa"/>
            <w:tcBorders/>
            <w:vAlign w:val="center"/>
          </w:tcPr>
          <w:p>
            <w:pPr>
              <w:pStyle w:val="TableContents"/>
              <w:bidi w:val="0"/>
              <w:spacing w:before="0" w:after="283"/>
              <w:jc w:val="right"/>
              <w:rPr/>
            </w:pPr>
            <w:r>
              <w:rPr/>
              <w:t>26,206</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31,478</w:t>
            </w:r>
          </w:p>
        </w:tc>
        <w:tc>
          <w:tcPr>
            <w:tcW w:w="29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39,741</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53,074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128,840</w:t>
            </w:r>
          </w:p>
        </w:tc>
        <w:tc>
          <w:tcPr>
            <w:tcW w:w="30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153,544</w:t>
            </w:r>
          </w:p>
        </w:tc>
        <w:tc>
          <w:tcPr>
            <w:tcW w:w="29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41" w:type="dxa"/>
            <w:tcBorders/>
            <w:vAlign w:val="center"/>
          </w:tcPr>
          <w:p>
            <w:pPr>
              <w:pStyle w:val="TableContents"/>
              <w:bidi w:val="0"/>
              <w:spacing w:before="0" w:after="0"/>
              <w:jc w:val="left"/>
              <w:rPr>
                <w:bdr w:val="single" w:sz="2" w:space="1" w:color="000000"/>
              </w:rPr>
            </w:pPr>
            <w:r>
              <w:rPr>
                <w:bdr w:val="single" w:sz="2"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884" w:type="dxa"/>
            <w:tcBorders/>
            <w:vAlign w:val="center"/>
          </w:tcPr>
          <w:p>
            <w:pPr>
              <w:pStyle w:val="TableContents"/>
              <w:bidi w:val="0"/>
              <w:spacing w:before="0" w:after="0"/>
              <w:jc w:val="left"/>
              <w:rPr>
                <w:bdr w:val="single" w:sz="2" w:space="1" w:color="000000"/>
              </w:rPr>
            </w:pPr>
            <w:r>
              <w:rPr>
                <w:bdr w:val="single" w:sz="2" w:space="1" w:color="000000"/>
              </w:rPr>
              <w:t> </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47,779</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63,150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4" w:type="dxa"/>
            <w:tcBorders/>
            <w:vAlign w:val="center"/>
          </w:tcPr>
          <w:p>
            <w:pPr>
              <w:pStyle w:val="TableContents"/>
              <w:bidi w:val="0"/>
              <w:spacing w:before="0" w:after="283"/>
              <w:jc w:val="right"/>
              <w:rPr/>
            </w:pPr>
            <w:r>
              <w:rPr/>
              <w:t>155,046</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185,022</w:t>
            </w:r>
          </w:p>
        </w:tc>
        <w:tc>
          <w:tcPr>
            <w:tcW w:w="29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41" w:type="dxa"/>
            <w:tcBorders/>
            <w:vAlign w:val="center"/>
          </w:tcPr>
          <w:p>
            <w:pPr>
              <w:pStyle w:val="TableContents"/>
              <w:bidi w:val="0"/>
              <w:spacing w:before="0" w:after="0"/>
              <w:jc w:val="left"/>
              <w:rPr>
                <w:bdr w:val="double" w:sz="6" w:space="1" w:color="000000"/>
              </w:rPr>
            </w:pPr>
            <w:r>
              <w:rPr>
                <w:bdr w:val="double" w:sz="6"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50"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884" w:type="dxa"/>
            <w:tcBorders/>
            <w:vAlign w:val="center"/>
          </w:tcPr>
          <w:p>
            <w:pPr>
              <w:pStyle w:val="TableContents"/>
              <w:bidi w:val="0"/>
              <w:spacing w:before="0" w:after="0"/>
              <w:jc w:val="left"/>
              <w:rPr>
                <w:bdr w:val="double" w:sz="6" w:space="1" w:color="000000"/>
              </w:rPr>
            </w:pPr>
            <w:r>
              <w:rPr>
                <w:bdr w:val="double" w:sz="6" w:space="1" w:color="000000"/>
              </w:rPr>
              <w:t> </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Margin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45.8</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39.6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43.1</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42.8</w:t>
            </w:r>
          </w:p>
        </w:tc>
        <w:tc>
          <w:tcPr>
            <w:tcW w:w="29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22.4</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22.0</w:t>
            </w:r>
          </w:p>
        </w:tc>
        <w:tc>
          <w:tcPr>
            <w:tcW w:w="30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23.1</w:t>
            </w:r>
          </w:p>
        </w:tc>
        <w:tc>
          <w:tcPr>
            <w:tcW w:w="29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41" w:type="dxa"/>
            <w:tcBorders/>
            <w:vAlign w:val="center"/>
          </w:tcPr>
          <w:p>
            <w:pPr>
              <w:pStyle w:val="TableContents"/>
              <w:bidi w:val="0"/>
              <w:spacing w:before="0" w:after="0"/>
              <w:jc w:val="left"/>
              <w:rPr>
                <w:bdr w:val="single" w:sz="2" w:space="1" w:color="000000"/>
              </w:rPr>
            </w:pPr>
            <w:r>
              <w:rPr>
                <w:bdr w:val="single" w:sz="2"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884" w:type="dxa"/>
            <w:tcBorders/>
            <w:vAlign w:val="center"/>
          </w:tcPr>
          <w:p>
            <w:pPr>
              <w:pStyle w:val="TableContents"/>
              <w:bidi w:val="0"/>
              <w:spacing w:before="0" w:after="0"/>
              <w:jc w:val="left"/>
              <w:rPr>
                <w:bdr w:val="single" w:sz="2" w:space="1" w:color="000000"/>
              </w:rPr>
            </w:pPr>
            <w:r>
              <w:rPr>
                <w:bdr w:val="single" w:sz="2" w:space="1" w:color="000000"/>
              </w:rPr>
              <w:t> </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gross margin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26.3</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25.8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25.6</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26.5</w:t>
            </w:r>
          </w:p>
        </w:tc>
        <w:tc>
          <w:tcPr>
            <w:tcW w:w="29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41" w:type="dxa"/>
            <w:tcBorders/>
            <w:vAlign w:val="center"/>
          </w:tcPr>
          <w:p>
            <w:pPr>
              <w:pStyle w:val="TableContents"/>
              <w:bidi w:val="0"/>
              <w:spacing w:before="0" w:after="0"/>
              <w:jc w:val="left"/>
              <w:rPr>
                <w:bdr w:val="double" w:sz="6" w:space="1" w:color="000000"/>
              </w:rPr>
            </w:pPr>
            <w:r>
              <w:rPr>
                <w:bdr w:val="double" w:sz="6"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50"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884" w:type="dxa"/>
            <w:tcBorders/>
            <w:vAlign w:val="center"/>
          </w:tcPr>
          <w:p>
            <w:pPr>
              <w:pStyle w:val="TableContents"/>
              <w:bidi w:val="0"/>
              <w:spacing w:before="0" w:after="0"/>
              <w:jc w:val="left"/>
              <w:rPr>
                <w:bdr w:val="double" w:sz="6" w:space="1" w:color="000000"/>
              </w:rPr>
            </w:pPr>
            <w:r>
              <w:rPr>
                <w:bdr w:val="double" w:sz="6" w:space="1" w:color="000000"/>
              </w:rPr>
              <w:t> </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Segment operating income (loss):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88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(832</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826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4" w:type="dxa"/>
            <w:tcBorders/>
            <w:vAlign w:val="center"/>
          </w:tcPr>
          <w:p>
            <w:pPr>
              <w:pStyle w:val="TableContents"/>
              <w:bidi w:val="0"/>
              <w:spacing w:before="0" w:after="283"/>
              <w:jc w:val="right"/>
              <w:rPr/>
            </w:pPr>
            <w:r>
              <w:rPr/>
              <w:t>(2,393</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2,615</w:t>
            </w:r>
          </w:p>
        </w:tc>
        <w:tc>
          <w:tcPr>
            <w:tcW w:w="29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1,476</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3,892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5,227</w:t>
            </w:r>
          </w:p>
        </w:tc>
        <w:tc>
          <w:tcPr>
            <w:tcW w:w="30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10,542</w:t>
            </w:r>
          </w:p>
        </w:tc>
        <w:tc>
          <w:tcPr>
            <w:tcW w:w="29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41" w:type="dxa"/>
            <w:tcBorders/>
            <w:vAlign w:val="center"/>
          </w:tcPr>
          <w:p>
            <w:pPr>
              <w:pStyle w:val="TableContents"/>
              <w:bidi w:val="0"/>
              <w:spacing w:before="0" w:after="0"/>
              <w:jc w:val="left"/>
              <w:rPr>
                <w:bdr w:val="single" w:sz="2" w:space="1" w:color="000000"/>
              </w:rPr>
            </w:pPr>
            <w:r>
              <w:rPr>
                <w:bdr w:val="single" w:sz="2"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884" w:type="dxa"/>
            <w:tcBorders/>
            <w:vAlign w:val="center"/>
          </w:tcPr>
          <w:p>
            <w:pPr>
              <w:pStyle w:val="TableContents"/>
              <w:bidi w:val="0"/>
              <w:spacing w:before="0" w:after="0"/>
              <w:jc w:val="left"/>
              <w:rPr>
                <w:bdr w:val="single" w:sz="2" w:space="1" w:color="000000"/>
              </w:rPr>
            </w:pPr>
            <w:r>
              <w:rPr>
                <w:bdr w:val="single" w:sz="2" w:space="1" w:color="000000"/>
              </w:rPr>
              <w:t> </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644</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4,718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2,834</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13,157</w:t>
            </w:r>
          </w:p>
        </w:tc>
        <w:tc>
          <w:tcPr>
            <w:tcW w:w="29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(693</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(791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(2,079</w:t>
            </w:r>
          </w:p>
        </w:tc>
        <w:tc>
          <w:tcPr>
            <w:tcW w:w="30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(2,375</w:t>
            </w:r>
          </w:p>
        </w:tc>
        <w:tc>
          <w:tcPr>
            <w:tcW w:w="29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Employment-related claim, net of recoveries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(3,100</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Reserve for cyber-security breach</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(450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30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(450</w:t>
            </w:r>
          </w:p>
        </w:tc>
        <w:tc>
          <w:tcPr>
            <w:tcW w:w="29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Severance expense</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(120</w:t>
            </w:r>
          </w:p>
        </w:tc>
        <w:tc>
          <w:tcPr>
            <w:tcW w:w="29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expenses, FX gains/losses and other, net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203</w:t>
            </w:r>
          </w:p>
        </w:tc>
        <w:tc>
          <w:tcPr>
            <w:tcW w:w="33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200</w:t>
            </w:r>
          </w:p>
        </w:tc>
        <w:tc>
          <w:tcPr>
            <w:tcW w:w="30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8</w:t>
            </w:r>
          </w:p>
        </w:tc>
        <w:tc>
          <w:tcPr>
            <w:tcW w:w="29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41" w:type="dxa"/>
            <w:tcBorders/>
            <w:vAlign w:val="center"/>
          </w:tcPr>
          <w:p>
            <w:pPr>
              <w:pStyle w:val="TableContents"/>
              <w:bidi w:val="0"/>
              <w:spacing w:before="0" w:after="0"/>
              <w:jc w:val="left"/>
              <w:rPr>
                <w:bdr w:val="single" w:sz="2" w:space="1" w:color="000000"/>
              </w:rPr>
            </w:pPr>
            <w:r>
              <w:rPr>
                <w:bdr w:val="single" w:sz="2"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884" w:type="dxa"/>
            <w:tcBorders/>
            <w:vAlign w:val="center"/>
          </w:tcPr>
          <w:p>
            <w:pPr>
              <w:pStyle w:val="TableContents"/>
              <w:bidi w:val="0"/>
              <w:spacing w:before="0" w:after="0"/>
              <w:jc w:val="left"/>
              <w:rPr>
                <w:bdr w:val="single" w:sz="2" w:space="1" w:color="000000"/>
              </w:rPr>
            </w:pPr>
            <w:r>
              <w:rPr>
                <w:bdr w:val="single" w:sz="2" w:space="1" w:color="000000"/>
              </w:rPr>
              <w:t> </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154</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3,357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4" w:type="dxa"/>
            <w:tcBorders/>
            <w:vAlign w:val="center"/>
          </w:tcPr>
          <w:p>
            <w:pPr>
              <w:pStyle w:val="TableContents"/>
              <w:bidi w:val="0"/>
              <w:spacing w:before="0" w:after="283"/>
              <w:jc w:val="right"/>
              <w:rPr/>
            </w:pPr>
            <w:r>
              <w:rPr/>
              <w:t>(2,145</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10,220</w:t>
            </w:r>
          </w:p>
        </w:tc>
        <w:tc>
          <w:tcPr>
            <w:tcW w:w="29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41" w:type="dxa"/>
            <w:tcBorders/>
            <w:vAlign w:val="center"/>
          </w:tcPr>
          <w:p>
            <w:pPr>
              <w:pStyle w:val="TableContents"/>
              <w:bidi w:val="0"/>
              <w:spacing w:before="0" w:after="0"/>
              <w:jc w:val="left"/>
              <w:rPr>
                <w:bdr w:val="double" w:sz="6" w:space="1" w:color="000000"/>
              </w:rPr>
            </w:pPr>
            <w:r>
              <w:rPr>
                <w:bdr w:val="double" w:sz="6" w:space="1" w:color="000000"/>
              </w:rPr>
              <w:t> </w:t>
            </w:r>
          </w:p>
        </w:tc>
        <w:tc>
          <w:tcPr>
            <w:tcW w:w="33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850"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884" w:type="dxa"/>
            <w:tcBorders/>
            <w:vAlign w:val="center"/>
          </w:tcPr>
          <w:p>
            <w:pPr>
              <w:pStyle w:val="TableContents"/>
              <w:bidi w:val="0"/>
              <w:spacing w:before="0" w:after="0"/>
              <w:jc w:val="left"/>
              <w:rPr>
                <w:bdr w:val="double" w:sz="6" w:space="1" w:color="000000"/>
              </w:rPr>
            </w:pPr>
            <w:r>
              <w:rPr>
                <w:bdr w:val="double" w:sz="6" w:space="1" w:color="000000"/>
              </w:rPr>
              <w:t> </w:t>
            </w:r>
          </w:p>
        </w:tc>
        <w:tc>
          <w:tcPr>
            <w:tcW w:w="303"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Below is a reconciliation of segment total assets to consolidated total assets: </w:t>
      </w:r>
    </w:p>
    <w:p>
      <w:pPr>
        <w:pStyle w:val="TextBody"/>
        <w:bidi w:val="0"/>
        <w:spacing w:before="0" w:after="0"/>
        <w:jc w:val="left"/>
        <w:rPr>
          <w:shd w:fill="FFFFFF" w:val="clear"/>
        </w:rPr>
      </w:pPr>
      <w:r>
        <w:rPr>
          <w:shd w:fill="FFFFFF" w:val="clear"/>
        </w:rPr>
        <w:t> </w:t>
      </w:r>
    </w:p>
    <w:tbl>
      <w:tblPr>
        <w:tblW w:w="5563" w:type="dxa"/>
        <w:jc w:val="left"/>
        <w:tblInd w:w="0" w:type="dxa"/>
        <w:tblLayout w:type="fixed"/>
        <w:tblCellMar>
          <w:top w:w="0" w:type="dxa"/>
          <w:left w:w="0" w:type="dxa"/>
          <w:bottom w:w="0" w:type="dxa"/>
          <w:right w:w="0" w:type="dxa"/>
        </w:tblCellMar>
      </w:tblPr>
      <w:tblGrid>
        <w:gridCol w:w="2300"/>
        <w:gridCol w:w="120"/>
        <w:gridCol w:w="218"/>
        <w:gridCol w:w="1256"/>
        <w:gridCol w:w="60"/>
        <w:gridCol w:w="120"/>
        <w:gridCol w:w="209"/>
        <w:gridCol w:w="1205"/>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68" w:type="dxa"/>
            <w:gridSpan w:val="6"/>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51,845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54,544</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57,698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54,335</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109,543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108,879</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Below is geographic information related to our revenues from external customers: </w:t>
      </w:r>
    </w:p>
    <w:p>
      <w:pPr>
        <w:pStyle w:val="TextBody"/>
        <w:bidi w:val="0"/>
        <w:spacing w:before="0" w:after="0"/>
        <w:jc w:val="left"/>
        <w:rPr>
          <w:shd w:fill="FFFFFF" w:val="clear"/>
        </w:rPr>
      </w:pPr>
      <w:r>
        <w:rPr>
          <w:shd w:fill="FFFFFF" w:val="clear"/>
        </w:rPr>
        <w:t> </w:t>
      </w:r>
    </w:p>
    <w:tbl>
      <w:tblPr>
        <w:tblW w:w="6565" w:type="dxa"/>
        <w:jc w:val="left"/>
        <w:tblInd w:w="0" w:type="dxa"/>
        <w:tblLayout w:type="fixed"/>
        <w:tblCellMar>
          <w:top w:w="0" w:type="dxa"/>
          <w:left w:w="0" w:type="dxa"/>
          <w:bottom w:w="0" w:type="dxa"/>
          <w:right w:w="0" w:type="dxa"/>
        </w:tblCellMar>
      </w:tblPr>
      <w:tblGrid>
        <w:gridCol w:w="1295"/>
        <w:gridCol w:w="120"/>
        <w:gridCol w:w="187"/>
        <w:gridCol w:w="913"/>
        <w:gridCol w:w="79"/>
        <w:gridCol w:w="159"/>
        <w:gridCol w:w="187"/>
        <w:gridCol w:w="921"/>
        <w:gridCol w:w="60"/>
        <w:gridCol w:w="120"/>
        <w:gridCol w:w="166"/>
        <w:gridCol w:w="950"/>
        <w:gridCol w:w="70"/>
        <w:gridCol w:w="141"/>
        <w:gridCol w:w="166"/>
        <w:gridCol w:w="956"/>
        <w:gridCol w:w="7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September 30,</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0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2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6" w:type="dxa"/>
            <w:gridSpan w:val="6"/>
            <w:tcBorders/>
            <w:vAlign w:val="center"/>
          </w:tcPr>
          <w:p>
            <w:pPr>
              <w:pStyle w:val="TableContents"/>
              <w:bidi w:val="0"/>
              <w:spacing w:before="0" w:after="0"/>
              <w:jc w:val="center"/>
              <w:rPr>
                <w:b/>
                <w:spacing w:val="0"/>
              </w:rPr>
            </w:pPr>
            <w:r>
              <w:rPr>
                <w:b/>
                <w:spacing w:val="0"/>
              </w:rPr>
              <w:t>(Amounts 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9" w:type="dxa"/>
            <w:gridSpan w:val="6"/>
            <w:tcBorders/>
            <w:vAlign w:val="center"/>
          </w:tcPr>
          <w:p>
            <w:pPr>
              <w:pStyle w:val="TableContents"/>
              <w:bidi w:val="0"/>
              <w:spacing w:before="0" w:after="0"/>
              <w:jc w:val="center"/>
              <w:rPr>
                <w:b/>
                <w:spacing w:val="0"/>
              </w:rPr>
            </w:pPr>
            <w:r>
              <w:rPr>
                <w:b/>
                <w:spacing w:val="0"/>
              </w:rPr>
              <w:t>(Amounts in thousands)</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46,778</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21" w:type="dxa"/>
            <w:tcBorders/>
            <w:shd w:fill="CCEEFF" w:val="clear"/>
            <w:vAlign w:val="center"/>
          </w:tcPr>
          <w:p>
            <w:pPr>
              <w:pStyle w:val="TableContents"/>
              <w:bidi w:val="0"/>
              <w:spacing w:before="0" w:after="283"/>
              <w:jc w:val="right"/>
              <w:rPr/>
            </w:pPr>
            <w:r>
              <w:rPr/>
              <w:t>61,704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151,798</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180,519</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Canada</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627</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1,038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2,159</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3,187</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India and Other</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374</w:t>
            </w:r>
          </w:p>
        </w:tc>
        <w:tc>
          <w:tcPr>
            <w:tcW w:w="7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408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1,089</w:t>
            </w:r>
          </w:p>
        </w:tc>
        <w:tc>
          <w:tcPr>
            <w:tcW w:w="7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1,316</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13" w:type="dxa"/>
            <w:tcBorders/>
            <w:vAlign w:val="center"/>
          </w:tcPr>
          <w:p>
            <w:pPr>
              <w:pStyle w:val="TableContents"/>
              <w:bidi w:val="0"/>
              <w:spacing w:before="0" w:after="0"/>
              <w:jc w:val="left"/>
              <w:rPr>
                <w:bdr w:val="single" w:sz="2" w:space="1" w:color="000000"/>
              </w:rPr>
            </w:pPr>
            <w:r>
              <w:rPr>
                <w:bdr w:val="single" w:sz="2"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92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950" w:type="dxa"/>
            <w:tcBorders/>
            <w:vAlign w:val="center"/>
          </w:tcPr>
          <w:p>
            <w:pPr>
              <w:pStyle w:val="TableContents"/>
              <w:bidi w:val="0"/>
              <w:spacing w:before="0" w:after="0"/>
              <w:jc w:val="left"/>
              <w:rPr>
                <w:bdr w:val="single" w:sz="2" w:space="1" w:color="000000"/>
              </w:rPr>
            </w:pPr>
            <w:r>
              <w:rPr>
                <w:bdr w:val="single" w:sz="2"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47,779</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21" w:type="dxa"/>
            <w:tcBorders/>
            <w:vAlign w:val="center"/>
          </w:tcPr>
          <w:p>
            <w:pPr>
              <w:pStyle w:val="TableContents"/>
              <w:bidi w:val="0"/>
              <w:spacing w:before="0" w:after="283"/>
              <w:jc w:val="right"/>
              <w:rPr/>
            </w:pPr>
            <w:r>
              <w:rPr/>
              <w:t>63,150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155,046</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56" w:type="dxa"/>
            <w:tcBorders/>
            <w:vAlign w:val="center"/>
          </w:tcPr>
          <w:p>
            <w:pPr>
              <w:pStyle w:val="TableContents"/>
              <w:bidi w:val="0"/>
              <w:spacing w:before="0" w:after="283"/>
              <w:jc w:val="right"/>
              <w:rPr/>
            </w:pPr>
            <w:r>
              <w:rPr/>
              <w:t>185,022</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13" w:type="dxa"/>
            <w:tcBorders/>
            <w:vAlign w:val="center"/>
          </w:tcPr>
          <w:p>
            <w:pPr>
              <w:pStyle w:val="TableContents"/>
              <w:bidi w:val="0"/>
              <w:spacing w:before="0" w:after="0"/>
              <w:jc w:val="left"/>
              <w:rPr>
                <w:bdr w:val="double" w:sz="6" w:space="1" w:color="000000"/>
              </w:rPr>
            </w:pPr>
            <w:r>
              <w:rPr>
                <w:bdr w:val="double" w:sz="6" w:space="1" w:color="000000"/>
              </w:rPr>
              <w:t> </w:t>
            </w:r>
          </w:p>
        </w:tc>
        <w:tc>
          <w:tcPr>
            <w:tcW w:w="7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double" w:sz="6" w:space="1" w:color="000000"/>
              </w:rPr>
            </w:pPr>
            <w:r>
              <w:rPr>
                <w:bdr w:val="double" w:sz="6" w:space="1" w:color="000000"/>
              </w:rPr>
              <w:t> </w:t>
            </w:r>
          </w:p>
        </w:tc>
        <w:tc>
          <w:tcPr>
            <w:tcW w:w="92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950" w:type="dxa"/>
            <w:tcBorders/>
            <w:vAlign w:val="center"/>
          </w:tcPr>
          <w:p>
            <w:pPr>
              <w:pStyle w:val="TableContents"/>
              <w:bidi w:val="0"/>
              <w:spacing w:before="0" w:after="0"/>
              <w:jc w:val="left"/>
              <w:rPr>
                <w:bdr w:val="double" w:sz="6" w:space="1" w:color="000000"/>
              </w:rPr>
            </w:pPr>
            <w:r>
              <w:rPr>
                <w:bdr w:val="double" w:sz="6" w:space="1" w:color="000000"/>
              </w:rPr>
              <w:t> </w:t>
            </w:r>
          </w:p>
        </w:tc>
        <w:tc>
          <w:tcPr>
            <w:tcW w:w="7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95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3625" w:type="dxa"/>
        <w:jc w:val="left"/>
        <w:tblInd w:w="0" w:type="dxa"/>
        <w:tblLayout w:type="fixed"/>
        <w:tblCellMar>
          <w:top w:w="0" w:type="dxa"/>
          <w:left w:w="0" w:type="dxa"/>
          <w:bottom w:w="0" w:type="dxa"/>
          <w:right w:w="0" w:type="dxa"/>
        </w:tblCellMar>
      </w:tblPr>
      <w:tblGrid>
        <w:gridCol w:w="335"/>
        <w:gridCol w:w="3290"/>
      </w:tblGrid>
      <w:tr>
        <w:trPr/>
        <w:tc>
          <w:tcPr>
            <w:tcW w:w="335" w:type="dxa"/>
            <w:tcBorders/>
            <w:vAlign w:val="center"/>
          </w:tcPr>
          <w:p>
            <w:pPr>
              <w:pStyle w:val="TableContents"/>
              <w:bidi w:val="0"/>
              <w:spacing w:before="0" w:after="0"/>
              <w:jc w:val="left"/>
              <w:rPr>
                <w:b/>
                <w:spacing w:val="0"/>
              </w:rPr>
            </w:pPr>
            <w:r>
              <w:rPr>
                <w:b/>
                <w:spacing w:val="0"/>
              </w:rPr>
              <w:t>13.</w:t>
            </w:r>
          </w:p>
        </w:tc>
        <w:tc>
          <w:tcPr>
            <w:tcW w:w="32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Recently Issued Accounting Standards </w:t>
            </w:r>
          </w:p>
        </w:tc>
      </w:tr>
    </w:tbl>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Recently Adopted Accounting Pronouncements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2021, the Financial Accounting Standards Board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2021-08,</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Business Combinations (Topic 805): Accounting for Contract Assets and Contract Liabilities from Contracts with Customers”. The amendments in this ASU require that an entity (acquirer) recognize and measure contract assets and contract liabilities acquired in a business combination, including contract assets and contract liabilities arising from revenue contracts with customers, as if it had originated the contracts as of the acquisition date. The amendments in this ASU are effective for annual and interim periods beginning after December 15, 2022. We adopted this ASU on January 1, 2023 with no material impact on our financial statements.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 </w:t>
      </w:r>
    </w:p>
    <w:p>
      <w:pPr>
        <w:pStyle w:val="TextBody"/>
        <w:bidi w:val="0"/>
        <w:spacing w:before="0" w:after="0"/>
        <w:jc w:val="left"/>
        <w:rPr>
          <w:shd w:fill="FFFFFF" w:val="clear"/>
        </w:rPr>
      </w:pPr>
      <w:r>
        <w:rPr>
          <w:shd w:fill="FFFFFF" w:val="clear"/>
        </w:rPr>
        <w:t> </w:t>
      </w:r>
    </w:p>
    <w:p>
      <w:pPr>
        <w:pStyle w:val="TextBody"/>
        <w:bidi w:val="0"/>
        <w:jc w:val="center"/>
        <w:rPr>
          <w:rFonts w:ascii="Times New Roman" w:hAnsi="Times New Roman"/>
          <w:sz w:val="20"/>
          <w:shd w:fill="FFFFFF" w:val="clear"/>
        </w:rPr>
      </w:pPr>
      <w:r>
        <w:rPr>
          <w:rFonts w:ascii="Times New Roman" w:hAnsi="Times New Roman"/>
          <w:sz w:val="20"/>
          <w:shd w:fill="FFFFFF" w:val="clear"/>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b/>
              </w:rPr>
            </w:pPr>
            <w:bookmarkStart w:id="4" w:name="toc553855_9"/>
            <w:bookmarkEnd w:id="4"/>
            <w:r>
              <w:rPr>
                <w:b/>
              </w:rPr>
              <w:t>ITEM 2.</w:t>
            </w:r>
          </w:p>
        </w:tc>
        <w:tc>
          <w:tcPr>
            <w:tcW w:w="92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should read the following discussion in conjunction with our audited consolidated financial statements and accompanying notes for the year ended December 31, 2022, included in our Annual Report on Form 10-K, filed with the Securities and Exchange Commission (“SEC”) on March 27, 2023.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2022.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Website Access to SEC Reports: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website is www.mastechdigital.com. The Company’s Annual Report on Form 10-K for the year ended December 31, 2022, current reports on Form 8-K and all other reports filed with the SEC, are available free of charge on the Investors page. The website is updated as soon as reasonably practical after such reports are filed electronically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2022 for a more detailed discussion of our significant accounting policies and critical accounting estimates. There were no material changes to these critical accounting policies during the nine months ended September 30,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Employment-Related Claims Against the Company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the Company received a demand letter from the attorney of a former employee who resigned from his employment with the Company in November 2022. Among other allegations in the letter, this former employee has asserted various employment-related claims against the Company, including a claim of wrongful termination. For the three and nine months ended September 30, 2023, the Company incurred $225,000 and $1.2 million, respectively, of professional service fees related to this matter. Additionally, the Company recorded a $3.1 million loss reserve, net of recoveries in the second quarter of 2023, with respect to an estimated settlement. During the third quarter, we settled this claim and, under the terms of the settlement agreement with this former employee, we paid the settlement amount. The exact terms of the settlement agreement are to remain confidential; however, the settlement amount, net of expected recoveries, was fully reserved in the second quarter of 2023 and is included in Selling, General and Administrative expenses in the Condensed Consolidated Statement of Operations included in this quarterly report on Form 10-Q.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provider of Digital Transformation IT Services to mostly large and medium-sized organizations. </w:t>
      </w:r>
    </w:p>
    <w:p>
      <w:pPr>
        <w:pStyle w:val="TextBody"/>
        <w:bidi w:val="0"/>
        <w:spacing w:before="240" w:after="0"/>
        <w:jc w:val="left"/>
        <w:rPr>
          <w:rFonts w:ascii="Times New Roman" w:hAnsi="Times New Roman"/>
          <w:sz w:val="20"/>
        </w:rPr>
      </w:pPr>
      <w:r>
        <w:rPr>
          <w:rFonts w:ascii="Times New Roman" w:hAnsi="Times New Roman"/>
          <w:sz w:val="20"/>
        </w:rPr>
        <w:t xml:space="preserve">Our portfolio of offerings includes data management and analytics services, other digital transformation services, such as digital learning services, and IT Staffing Services. </w:t>
      </w:r>
    </w:p>
    <w:p>
      <w:pPr>
        <w:pStyle w:val="TextBody"/>
        <w:bidi w:val="0"/>
        <w:spacing w:before="240" w:after="0"/>
        <w:jc w:val="left"/>
        <w:rPr>
          <w:rFonts w:ascii="Times New Roman" w:hAnsi="Times New Roman"/>
          <w:sz w:val="20"/>
        </w:rPr>
      </w:pPr>
      <w:r>
        <w:rPr>
          <w:rFonts w:ascii="Times New Roman" w:hAnsi="Times New Roman"/>
          <w:sz w:val="20"/>
        </w:rPr>
        <w:t xml:space="preserve">We operate in two reporting segments – Data and Analytics Services and IT Staffing Services. Our data and analytics services are marketed on a global basis under the brand “Mastech InfoTrellis” and are delivered largely on a project basis with on-site and off-shore resources. These data and analytics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other digital transformation services. </w:t>
      </w:r>
    </w:p>
    <w:p>
      <w:pPr>
        <w:pStyle w:val="TextBody"/>
        <w:bidi w:val="0"/>
        <w:spacing w:before="240" w:after="0"/>
        <w:jc w:val="left"/>
        <w:rPr>
          <w:rFonts w:ascii="Times New Roman" w:hAnsi="Times New Roman"/>
          <w:sz w:val="20"/>
        </w:rPr>
      </w:pPr>
      <w:r>
        <w:rPr>
          <w:rFonts w:ascii="Times New Roman" w:hAnsi="Times New Roman"/>
          <w:sz w:val="20"/>
        </w:rPr>
        <w:t xml:space="preserve">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and Analytics: </w:t>
      </w:r>
    </w:p>
    <w:p>
      <w:pPr>
        <w:pStyle w:val="TextBody"/>
        <w:bidi w:val="0"/>
        <w:spacing w:before="120" w:after="0"/>
        <w:jc w:val="left"/>
        <w:rPr>
          <w:rFonts w:ascii="Times New Roman" w:hAnsi="Times New Roman"/>
          <w:sz w:val="20"/>
        </w:rPr>
      </w:pPr>
      <w:r>
        <w:rPr>
          <w:rFonts w:ascii="Times New Roman" w:hAnsi="Times New Roman"/>
          <w:sz w:val="20"/>
        </w:rPr>
        <w:t xml:space="preserve">We provide information regarding our new bookings in our Data and Analytics Services segment, which represents the estimated value of client engagements, including those acquired through acquisitions, as well as renewals and extensions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Economic Trends and Outlook: </w:t>
      </w:r>
    </w:p>
    <w:p>
      <w:pPr>
        <w:pStyle w:val="TextBody"/>
        <w:bidi w:val="0"/>
        <w:spacing w:before="120" w:after="0"/>
        <w:jc w:val="left"/>
        <w:rPr>
          <w:rFonts w:ascii="Times New Roman" w:hAnsi="Times New Roman"/>
          <w:sz w:val="20"/>
        </w:rPr>
      </w:pPr>
      <w:r>
        <w:rPr>
          <w:rFonts w:ascii="Times New Roman" w:hAnsi="Times New Roman"/>
          <w:sz w:val="20"/>
        </w:rPr>
        <w:t xml:space="preserve">Generally, our business outlook is highly correlated to general North American economic conditions. During periods of increasing employment and economic expansion, demand for our services tends to increase. Conversely, during periods of contracting employment and/or a slowing global economy, demand for our services tends to decline. As the economy slowed in 2007 and recessionary conditions emerged in 2008 and 2009, we experienced less demand for our IT Staffing Services. With economic expansion during the period from 2010 through 2019, activity levels improved. However, as the recovery strengthened, we experienced increased tightness in the supply-side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starting in the first quarter of 2020, we realized the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has caused further uncertainty and disruption in the global markets. In 2022, COVID-19-related concerns seemed to subside, however, increased inflation, expanding interest rates and concerns about a possible recession created much uncertainty and adversely impacted demand for our services in the second half of the year. During the first nine months of 2023, economic uncertainty continued to impact our businesses, particularly in our IT Staffing Services segment, as we experienced reduced demand from our clients and prospective clients, largely in the financial services industry. Additionally, it is difficult to predict the impact or duration that these economic pressures may have on our businesses and results of operations in future quarters.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2022). Accordingly, our trends and outlook are additionally impacted by the prospects and well-being of these specific clients. This “account concentration” factor may result in our results of operations deviating from the prevailing economic trends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Within our IT Staffing Services segment, a larger portion of our revenues has come from strategic relationships with systems integrators and other staffing organizations. Additionally, many large end users of IT staffing services are employing managed service providers to manage their contractor spending. Both of these dynamics may pressure our staffing gross margins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Recent growth in advanced technologies (social, cloud, analytics, mobility, automation) is providing opportunities within our IT Staffing Services segment. However, supply side challenges have proven to be acute with respect to many of these technologies. We believe these challenges will remain in the remainder of 2023 and likely into 2024. </w:t>
      </w:r>
    </w:p>
    <w:p>
      <w:pPr>
        <w:pStyle w:val="TextBody"/>
        <w:bidi w:val="0"/>
        <w:spacing w:before="240" w:after="0"/>
        <w:jc w:val="left"/>
        <w:rPr>
          <w:rFonts w:ascii="Times New Roman" w:hAnsi="Times New Roman"/>
          <w:sz w:val="20"/>
        </w:rPr>
      </w:pPr>
      <w:r>
        <w:rPr>
          <w:rFonts w:ascii="Times New Roman" w:hAnsi="Times New Roman"/>
          <w:sz w:val="20"/>
        </w:rPr>
        <w:t xml:space="preserve">Within our Data and Analytics Services segment, many customers are satisfying their data and analytics needs using a holistic approach. This often results in the customer using one vendor partner rather than multiple vendors. We have responded to this trend by establishing a service offering called “Center of Excellence,” which bundles a customer’s total requirements under a multi-year contract. This concept allows us to better understand the customer’s longer-term strategy with respect to data and analytics and effectively address such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Operations for the Three Months Ended September 30, 2023 as Compared to the Three Months Ended September 30, 2022: </w:t>
      </w:r>
    </w:p>
    <w:p>
      <w:pPr>
        <w:pStyle w:val="TextBody"/>
        <w:bidi w:val="0"/>
        <w:spacing w:before="120" w:after="0"/>
        <w:jc w:val="left"/>
        <w:rPr>
          <w:rFonts w:ascii="Times New Roman" w:hAnsi="Times New Roman"/>
          <w:i/>
          <w:sz w:val="20"/>
        </w:rPr>
      </w:pPr>
      <w:r>
        <w:rPr>
          <w:rFonts w:ascii="Times New Roman" w:hAnsi="Times New Roman"/>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Revenues for the three months ended September 30, 2023 totaled $47.8 million, compared to $63.2 million for the corresponding three-month period in 2022. This 24% year-over-year revenue decline reflected a 20% decrease in our Data and Analytics Services segment and a 25% decline in our IT Staffing Services segment. For the three months ended September 30, 2023, the Company had one client that had revenues in excess of 10% of total revenues (CGI = 21.1%). For the three months ended September 30, 2022, the Company had the same one client that had revenues in excess of 10% of total revenues (CGI = 23.7%). The Company’s top ten clients represented approximately 52% and 54% of total revenues for the three months ended September 30,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Below is a tabular presentation of revenues by reportable segment for the three months ended September 30, 2023 and 2022, respectively: </w:t>
      </w:r>
    </w:p>
    <w:p>
      <w:pPr>
        <w:pStyle w:val="TextBody"/>
        <w:bidi w:val="0"/>
        <w:spacing w:before="0" w:after="0"/>
        <w:jc w:val="left"/>
        <w:rPr/>
      </w:pPr>
      <w:r>
        <w:rPr/>
        <w:t> </w:t>
      </w:r>
    </w:p>
    <w:tbl>
      <w:tblPr>
        <w:tblW w:w="7095" w:type="dxa"/>
        <w:jc w:val="left"/>
        <w:tblInd w:w="0" w:type="dxa"/>
        <w:tblLayout w:type="fixed"/>
        <w:tblCellMar>
          <w:top w:w="0" w:type="dxa"/>
          <w:left w:w="0" w:type="dxa"/>
          <w:bottom w:w="0" w:type="dxa"/>
          <w:right w:w="0" w:type="dxa"/>
        </w:tblCellMar>
      </w:tblPr>
      <w:tblGrid>
        <w:gridCol w:w="2300"/>
        <w:gridCol w:w="120"/>
        <w:gridCol w:w="533"/>
        <w:gridCol w:w="1677"/>
        <w:gridCol w:w="60"/>
        <w:gridCol w:w="120"/>
        <w:gridCol w:w="533"/>
        <w:gridCol w:w="1677"/>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Revenues (Amounts in millions)</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2022</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w:t>
            </w:r>
          </w:p>
        </w:tc>
        <w:tc>
          <w:tcPr>
            <w:tcW w:w="1677"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w:t>
            </w:r>
          </w:p>
        </w:tc>
        <w:tc>
          <w:tcPr>
            <w:tcW w:w="1677" w:type="dxa"/>
            <w:tcBorders/>
            <w:shd w:fill="CCEEFF" w:val="clear"/>
            <w:vAlign w:val="center"/>
          </w:tcPr>
          <w:p>
            <w:pPr>
              <w:pStyle w:val="TableContents"/>
              <w:bidi w:val="0"/>
              <w:spacing w:before="0" w:after="283"/>
              <w:jc w:val="right"/>
              <w:rPr/>
            </w:pPr>
            <w:r>
              <w:rPr/>
              <w:t>10.1</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39.8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53.1</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w:t>
            </w:r>
          </w:p>
        </w:tc>
        <w:tc>
          <w:tcPr>
            <w:tcW w:w="1677" w:type="dxa"/>
            <w:tcBorders/>
            <w:shd w:fill="CCEEFF" w:val="clear"/>
            <w:vAlign w:val="center"/>
          </w:tcPr>
          <w:p>
            <w:pPr>
              <w:pStyle w:val="TableContents"/>
              <w:bidi w:val="0"/>
              <w:spacing w:before="0" w:after="283"/>
              <w:jc w:val="right"/>
              <w:rPr/>
            </w:pPr>
            <w:r>
              <w:rPr/>
              <w:t>47.8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w:t>
            </w:r>
          </w:p>
        </w:tc>
        <w:tc>
          <w:tcPr>
            <w:tcW w:w="1677" w:type="dxa"/>
            <w:tcBorders/>
            <w:shd w:fill="CCEEFF" w:val="clear"/>
            <w:vAlign w:val="center"/>
          </w:tcPr>
          <w:p>
            <w:pPr>
              <w:pStyle w:val="TableContents"/>
              <w:bidi w:val="0"/>
              <w:spacing w:before="0" w:after="283"/>
              <w:jc w:val="right"/>
              <w:rPr/>
            </w:pPr>
            <w:r>
              <w:rPr/>
              <w:t>63.2</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from our Data and Analytics Services segment totaled $8.0 million in the quarter ended September 30, 2023, compared to $10.1 million in the corresponding quarter last year. This year-over-year decline of 20% reflected client spending reductions on several existing projects and assignment delays with respect to new orders. New bookings in the third quarter of 2023 totaled $5.1 million, which were significantly below second quarter 2023 bookings due to award delays on assignments in which we received verbal commitments from the client. </w:t>
      </w:r>
    </w:p>
    <w:p>
      <w:pPr>
        <w:pStyle w:val="TextBody"/>
        <w:bidi w:val="0"/>
        <w:spacing w:before="240" w:after="0"/>
        <w:jc w:val="left"/>
        <w:rPr>
          <w:rFonts w:ascii="Times New Roman" w:hAnsi="Times New Roman"/>
          <w:sz w:val="20"/>
        </w:rPr>
      </w:pPr>
      <w:r>
        <w:rPr>
          <w:rFonts w:ascii="Times New Roman" w:hAnsi="Times New Roman"/>
          <w:sz w:val="20"/>
        </w:rPr>
        <w:t xml:space="preserve">Revenues from our IT Staffing Services segment totaled $39.8 million in the three months ended September 30, 2023, compared to $53.1 million during the corresponding 2022 period. This 25% year-over-year decrease reflected lower demand for our services, particularly with respect to financial services clients. Our financial services consultant base decreased from approximately 53% at December 31, 2022 to 44% at September 30, 2023. Total billable consultants declined by 49 during the 2023 third quarter compared to a decline of 83 in the 2023 second quarter. While this quarterly decline in billable headcount is a significant improvement from the previous quarter, it still had a negative impact on our revenue performance compared to the corresponding quarter of 2022. Billable consultants at September 30, 2023 totaled 992-consultants compared to 1,307-consultants one year earlier. Our average bill rate during the third quarter of 2023 was $80.96 per hour compared to $81.60 per hour in the third quarter of last year. This decrease in average bill rate was due to lower rates on new assignments during the 2023 period and was reflective of the types of skill sets that we deployed. Permanent placements / fee revenues were approximately $0.2 million during the 2023 third quarter compared to $0.5 million in the corresponding quarter of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Gross Margins: </w:t>
      </w:r>
    </w:p>
    <w:p>
      <w:pPr>
        <w:pStyle w:val="TextBody"/>
        <w:bidi w:val="0"/>
        <w:spacing w:before="120" w:after="0"/>
        <w:jc w:val="left"/>
        <w:rPr>
          <w:rFonts w:ascii="Times New Roman" w:hAnsi="Times New Roman"/>
          <w:sz w:val="20"/>
        </w:rPr>
      </w:pPr>
      <w:r>
        <w:rPr>
          <w:rFonts w:ascii="Times New Roman" w:hAnsi="Times New Roman"/>
          <w:sz w:val="20"/>
        </w:rPr>
        <w:t xml:space="preserve">Gross profits in the third quarter of 2023 totaled $12.6 million, compared to $16.3 million in the third quarter of 2022. Gross profit as a percentage of revenue was 26.3% for the three-month period ended September 30, 2023, compared to 25.8% during the same period of 2022. This 50-basis point increase related to improved utilization in the Data and Analytics Services segment. </w:t>
      </w:r>
    </w:p>
    <w:p>
      <w:pPr>
        <w:pStyle w:val="TextBody"/>
        <w:bidi w:val="0"/>
        <w:spacing w:before="240" w:after="0"/>
        <w:jc w:val="left"/>
        <w:rPr>
          <w:rFonts w:ascii="Times New Roman" w:hAnsi="Times New Roman"/>
          <w:sz w:val="20"/>
        </w:rPr>
      </w:pPr>
      <w:r>
        <w:rPr>
          <w:rFonts w:ascii="Times New Roman" w:hAnsi="Times New Roman"/>
          <w:sz w:val="20"/>
        </w:rPr>
        <w:t xml:space="preserve">Below is a tabular presentation of gross margin by reporting segment for the three months ended September 30, 2023 and 2022, respectively: </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300"/>
        <w:gridCol w:w="120"/>
        <w:gridCol w:w="265"/>
        <w:gridCol w:w="1945"/>
        <w:gridCol w:w="275"/>
        <w:gridCol w:w="60"/>
        <w:gridCol w:w="265"/>
        <w:gridCol w:w="1945"/>
        <w:gridCol w:w="29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Gross Margin</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2022</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45.8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39.6</w:t>
            </w:r>
          </w:p>
        </w:tc>
        <w:tc>
          <w:tcPr>
            <w:tcW w:w="29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right"/>
              <w:rPr/>
            </w:pPr>
            <w:r>
              <w:rPr/>
              <w:t>22.4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right"/>
              <w:rPr/>
            </w:pPr>
            <w:r>
              <w:rPr/>
              <w:t>23.2</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945"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945"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margin</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26.3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25.8</w:t>
            </w:r>
          </w:p>
        </w:tc>
        <w:tc>
          <w:tcPr>
            <w:tcW w:w="29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double" w:sz="6" w:space="1" w:color="000000"/>
              </w:pBdr>
              <w:bidi w:val="0"/>
              <w:spacing w:before="0" w:after="0"/>
              <w:jc w:val="left"/>
              <w:rPr/>
            </w:pPr>
            <w:r>
              <w:rPr/>
              <w:t> </w:t>
            </w:r>
          </w:p>
        </w:tc>
        <w:tc>
          <w:tcPr>
            <w:tcW w:w="1945"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double" w:sz="6" w:space="1" w:color="000000"/>
              </w:pBdr>
              <w:bidi w:val="0"/>
              <w:spacing w:before="0" w:after="0"/>
              <w:jc w:val="left"/>
              <w:rPr/>
            </w:pPr>
            <w:r>
              <w:rPr/>
              <w:t> </w:t>
            </w:r>
          </w:p>
        </w:tc>
        <w:tc>
          <w:tcPr>
            <w:tcW w:w="1945"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Gross margins from our Data and Analytics Services segment were 45.8% of revenues during the third quarter of 2023, compared to 39.6% of revenues during the third quarter of 2022. The margin improvement reflected higher utilization in the 2023 period. In the third quarter of 2022, we did not fully deploy our billable resources, which negatively impacted utilization. Additionally, we incurred a project cost-over-run of $0.3 million on a fixed priced assignment during the 2022 period. </w:t>
      </w:r>
    </w:p>
    <w:p>
      <w:pPr>
        <w:pStyle w:val="TextBody"/>
        <w:bidi w:val="0"/>
        <w:spacing w:before="240" w:after="0"/>
        <w:jc w:val="left"/>
        <w:rPr>
          <w:rFonts w:ascii="Times New Roman" w:hAnsi="Times New Roman"/>
          <w:sz w:val="20"/>
        </w:rPr>
      </w:pPr>
      <w:r>
        <w:rPr>
          <w:rFonts w:ascii="Times New Roman" w:hAnsi="Times New Roman"/>
          <w:sz w:val="20"/>
        </w:rPr>
        <w:t xml:space="preserve">Gross margins from our IT Staffing Services segment were 22.4% in the third quarter of 2023, compared to 23.2% during the corresponding quarter of 2022. This 80-basis point decline was largely due to lower permanent placement fees and higher medical claims related to our self-insured healthcare program.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(“SG&amp;A”) Expenses: </w:t>
      </w:r>
    </w:p>
    <w:p>
      <w:pPr>
        <w:pStyle w:val="TextBody"/>
        <w:bidi w:val="0"/>
        <w:spacing w:before="120" w:after="0"/>
        <w:jc w:val="left"/>
        <w:rPr>
          <w:rFonts w:ascii="Times New Roman" w:hAnsi="Times New Roman"/>
          <w:sz w:val="20"/>
        </w:rPr>
      </w:pPr>
      <w:r>
        <w:rPr>
          <w:rFonts w:ascii="Times New Roman" w:hAnsi="Times New Roman"/>
          <w:sz w:val="20"/>
        </w:rPr>
        <w:t xml:space="preserve">Below is a tabular presentation of operating expenses by expense category for the three months ended September 30, 2023 and 2022, respectively: </w:t>
      </w:r>
    </w:p>
    <w:p>
      <w:pPr>
        <w:pStyle w:val="TextBody"/>
        <w:bidi w:val="0"/>
        <w:spacing w:before="0" w:after="0"/>
        <w:jc w:val="left"/>
        <w:rPr/>
      </w:pPr>
      <w:r>
        <w:rPr/>
        <w:t> </w:t>
      </w:r>
    </w:p>
    <w:tbl>
      <w:tblPr>
        <w:tblW w:w="8760" w:type="dxa"/>
        <w:jc w:val="left"/>
        <w:tblInd w:w="0" w:type="dxa"/>
        <w:tblLayout w:type="fixed"/>
        <w:tblCellMar>
          <w:top w:w="0" w:type="dxa"/>
          <w:left w:w="0" w:type="dxa"/>
          <w:bottom w:w="0" w:type="dxa"/>
          <w:right w:w="0" w:type="dxa"/>
        </w:tblCellMar>
      </w:tblPr>
      <w:tblGrid>
        <w:gridCol w:w="3965"/>
        <w:gridCol w:w="120"/>
        <w:gridCol w:w="533"/>
        <w:gridCol w:w="1677"/>
        <w:gridCol w:w="60"/>
        <w:gridCol w:w="120"/>
        <w:gridCol w:w="533"/>
        <w:gridCol w:w="1677"/>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b/>
              </w:rPr>
            </w:pPr>
            <w:r>
              <w:rPr>
                <w:b/>
              </w:rPr>
              <w:t>SG&amp;A Expenses (Amounts in millions)</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2022</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Data and Analytics Services Segment</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sz w:val="4"/>
                <w:szCs w:val="4"/>
              </w:rPr>
            </w:pPr>
            <w:r>
              <w:rPr>
                <w:sz w:val="4"/>
                <w:szCs w:val="4"/>
              </w:rPr>
            </w:r>
          </w:p>
        </w:tc>
        <w:tc>
          <w:tcPr>
            <w:tcW w:w="16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sz w:val="4"/>
                <w:szCs w:val="4"/>
              </w:rPr>
            </w:pPr>
            <w:r>
              <w:rPr>
                <w:sz w:val="4"/>
                <w:szCs w:val="4"/>
              </w:rPr>
            </w:r>
          </w:p>
        </w:tc>
        <w:tc>
          <w:tcPr>
            <w:tcW w:w="167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0.6</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&amp; Administrative</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 Data and Analytics Services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b/>
              </w:rPr>
            </w:pPr>
            <w:r>
              <w:rPr>
                <w:b/>
              </w:rPr>
              <w:t>$</w:t>
            </w:r>
          </w:p>
        </w:tc>
        <w:tc>
          <w:tcPr>
            <w:tcW w:w="1677" w:type="dxa"/>
            <w:tcBorders/>
            <w:shd w:fill="CCEEFF" w:val="clear"/>
            <w:vAlign w:val="center"/>
          </w:tcPr>
          <w:p>
            <w:pPr>
              <w:pStyle w:val="TableContents"/>
              <w:bidi w:val="0"/>
              <w:spacing w:before="0" w:after="283"/>
              <w:jc w:val="right"/>
              <w:rPr>
                <w:b/>
              </w:rPr>
            </w:pPr>
            <w:r>
              <w:rPr>
                <w:b/>
              </w:rPr>
              <w:t>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b/>
              </w:rPr>
            </w:pPr>
            <w:r>
              <w:rPr>
                <w:b/>
              </w:rPr>
              <w:t>$</w:t>
            </w:r>
          </w:p>
        </w:tc>
        <w:tc>
          <w:tcPr>
            <w:tcW w:w="1677" w:type="dxa"/>
            <w:tcBorders/>
            <w:shd w:fill="CCEEFF" w:val="clear"/>
            <w:vAlign w:val="center"/>
          </w:tcPr>
          <w:p>
            <w:pPr>
              <w:pStyle w:val="TableContents"/>
              <w:bidi w:val="0"/>
              <w:spacing w:before="0" w:after="283"/>
              <w:jc w:val="right"/>
              <w:rPr>
                <w:b/>
              </w:rPr>
            </w:pPr>
            <w:r>
              <w:rPr>
                <w:b/>
              </w:rPr>
              <w:t>3.2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SG&amp;A Expenses (Amounts in millions)</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IT Staffing Services Segment</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sz w:val="4"/>
                <w:szCs w:val="4"/>
              </w:rPr>
            </w:pPr>
            <w:r>
              <w:rPr>
                <w:sz w:val="4"/>
                <w:szCs w:val="4"/>
              </w:rPr>
            </w:r>
          </w:p>
        </w:tc>
        <w:tc>
          <w:tcPr>
            <w:tcW w:w="16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sz w:val="4"/>
                <w:szCs w:val="4"/>
              </w:rPr>
            </w:pPr>
            <w:r>
              <w:rPr>
                <w:sz w:val="4"/>
                <w:szCs w:val="4"/>
              </w:rPr>
            </w:r>
          </w:p>
        </w:tc>
        <w:tc>
          <w:tcPr>
            <w:tcW w:w="167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2.7</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&amp; Administrative</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single" w:sz="2" w:space="1" w:color="000000"/>
              </w:pBdr>
              <w:bidi w:val="0"/>
              <w:spacing w:before="0" w:after="0"/>
              <w:jc w:val="left"/>
              <w:rPr/>
            </w:pPr>
            <w:r>
              <w:rPr/>
              <w:t> </w:t>
            </w:r>
          </w:p>
        </w:tc>
        <w:tc>
          <w:tcPr>
            <w:tcW w:w="167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 IT Staffing Services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b/>
              </w:rPr>
            </w:pPr>
            <w:r>
              <w:rPr>
                <w:b/>
              </w:rPr>
              <w:t>$</w:t>
            </w:r>
          </w:p>
        </w:tc>
        <w:tc>
          <w:tcPr>
            <w:tcW w:w="1677" w:type="dxa"/>
            <w:tcBorders/>
            <w:shd w:fill="CCEEFF" w:val="clear"/>
            <w:vAlign w:val="center"/>
          </w:tcPr>
          <w:p>
            <w:pPr>
              <w:pStyle w:val="TableContents"/>
              <w:bidi w:val="0"/>
              <w:spacing w:before="0" w:after="283"/>
              <w:jc w:val="right"/>
              <w:rPr>
                <w:b/>
              </w:rPr>
            </w:pPr>
            <w:r>
              <w:rPr>
                <w:b/>
              </w:rPr>
              <w:t>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b/>
              </w:rPr>
            </w:pPr>
            <w:r>
              <w:rPr>
                <w:b/>
              </w:rPr>
              <w:t>$</w:t>
            </w:r>
          </w:p>
        </w:tc>
        <w:tc>
          <w:tcPr>
            <w:tcW w:w="1677" w:type="dxa"/>
            <w:tcBorders/>
            <w:shd w:fill="CCEEFF" w:val="clear"/>
            <w:vAlign w:val="center"/>
          </w:tcPr>
          <w:p>
            <w:pPr>
              <w:pStyle w:val="TableContents"/>
              <w:bidi w:val="0"/>
              <w:spacing w:before="0" w:after="283"/>
              <w:jc w:val="right"/>
              <w:rPr>
                <w:b/>
              </w:rPr>
            </w:pPr>
            <w:r>
              <w:rPr>
                <w:b/>
              </w:rPr>
              <w:t>8.4</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w:t>
            </w:r>
          </w:p>
        </w:tc>
        <w:tc>
          <w:tcPr>
            <w:tcW w:w="1677" w:type="dxa"/>
            <w:tcBorders/>
            <w:vAlign w:val="center"/>
          </w:tcPr>
          <w:p>
            <w:pPr>
              <w:pStyle w:val="TableContents"/>
              <w:bidi w:val="0"/>
              <w:spacing w:before="0" w:after="283"/>
              <w:jc w:val="right"/>
              <w:rPr/>
            </w:pPr>
            <w:r>
              <w:rPr/>
              <w:t>0.8</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Reserve for cyber-security breach</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0.4</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Severance expense</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right"/>
              <w:rPr/>
            </w:pPr>
            <w:r>
              <w:rPr/>
              <w:t>0.1</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SG&amp;A Expenses</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b/>
              </w:rPr>
            </w:pPr>
            <w:r>
              <w:rPr>
                <w:b/>
              </w:rPr>
              <w:t>$</w:t>
            </w:r>
          </w:p>
        </w:tc>
        <w:tc>
          <w:tcPr>
            <w:tcW w:w="1677" w:type="dxa"/>
            <w:tcBorders/>
            <w:shd w:fill="CCEEFF" w:val="clear"/>
            <w:vAlign w:val="center"/>
          </w:tcPr>
          <w:p>
            <w:pPr>
              <w:pStyle w:val="TableContents"/>
              <w:bidi w:val="0"/>
              <w:spacing w:before="0" w:after="283"/>
              <w:jc w:val="right"/>
              <w:rPr>
                <w:b/>
              </w:rPr>
            </w:pPr>
            <w:r>
              <w:rPr>
                <w:b/>
              </w:rPr>
              <w:t>12.6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b/>
              </w:rPr>
            </w:pPr>
            <w:r>
              <w:rPr>
                <w:b/>
              </w:rPr>
              <w:t>$</w:t>
            </w:r>
          </w:p>
        </w:tc>
        <w:tc>
          <w:tcPr>
            <w:tcW w:w="1677" w:type="dxa"/>
            <w:tcBorders/>
            <w:shd w:fill="CCEEFF" w:val="clear"/>
            <w:vAlign w:val="center"/>
          </w:tcPr>
          <w:p>
            <w:pPr>
              <w:pStyle w:val="TableContents"/>
              <w:bidi w:val="0"/>
              <w:spacing w:before="0" w:after="283"/>
              <w:jc w:val="right"/>
              <w:rPr>
                <w:b/>
              </w:rPr>
            </w:pPr>
            <w:r>
              <w:rPr>
                <w:b/>
              </w:rPr>
              <w:t>12.9</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3" w:type="dxa"/>
            <w:tcBorders/>
            <w:vAlign w:val="center"/>
          </w:tcPr>
          <w:p>
            <w:pPr>
              <w:pStyle w:val="TableContents"/>
              <w:pBdr>
                <w:top w:val="double" w:sz="6" w:space="1" w:color="000000"/>
              </w:pBdr>
              <w:bidi w:val="0"/>
              <w:spacing w:before="0" w:after="0"/>
              <w:jc w:val="left"/>
              <w:rPr/>
            </w:pPr>
            <w:r>
              <w:rPr/>
              <w:t> </w:t>
            </w:r>
          </w:p>
        </w:tc>
        <w:tc>
          <w:tcPr>
            <w:tcW w:w="167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SG&amp;A expenses for the three months ended September 30, 2023 totaled $12.6 million or 26.4% of total revenues, compared to $12.9 million or 20.4% of total revenues for the three-months ended September 30, 2022. Excluding the amortization of acquired intangible assets in both periods and reserves for severance and a cyber-security breach in the 2022 quarter, SG&amp;A expense as a percentage of total revenues was 25.0% and 18.4%,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Fluctuations within SG&amp;A expense components during the third quarter of 2023, compared to the third quarter of 2022, included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expense increased by $0.4 million in the 2023 period compared to the corresponding 2022 period. Approximately $0.8 million related to our Data and Analytics Services segment, which reflected additional staff and higher variable compensation expense in the 2023 third quarter. Sales expense in our IT Staffing Services segment decreased by $0.4 million, largely due to lower commissions, bonuses and other variable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Operations expenses decreased by $0.9 million in the 2023 period compared to the corresponding 2022 period. Operations expenses were down $0.3 million in our Data and Analytics Services segment due to staff reductions. In our IT Staffing Services segment, operations expenses decreased by $0.6 million and reflected reductions in recruitment staff and lower variable expenses related to our lower revenues.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 increased by $0.8 million in the 2023 period compared to the corresponding 2022 period. General and administrative expenses in our Data and Analytics Services segment increased by $0.8 million due to higher executive leadership staff increases and higher professional service fees of $0.2 million. In our IT Staffing Services segment, general and administrative expenses were flat as higher cyber-security-related initiatives were offset by lower bonus accruals.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acquired intangible assets was $0.7 million in the 2023 period, compared to $0.8 million in the corresponding 2022 period.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Reserve for a cyber-security breach totaled $0.4 million in the 2022 period, compared to no expense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Severance expense associated with the closure of operations in Singapore and Ireland, and the rationalization of our cost structure in the UK totaled $0.1 million in the 2022 period, compared to no expense in 2023.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Income / (Expense) Components: </w:t>
      </w:r>
    </w:p>
    <w:p>
      <w:pPr>
        <w:pStyle w:val="TextBody"/>
        <w:bidi w:val="0"/>
        <w:spacing w:before="120" w:after="0"/>
        <w:jc w:val="left"/>
        <w:rPr>
          <w:rFonts w:ascii="Times New Roman" w:hAnsi="Times New Roman"/>
          <w:sz w:val="20"/>
        </w:rPr>
      </w:pPr>
      <w:r>
        <w:rPr>
          <w:rFonts w:ascii="Times New Roman" w:hAnsi="Times New Roman"/>
          <w:sz w:val="20"/>
        </w:rPr>
        <w:t xml:space="preserve">Other Income / (Expense) for the three months ended September 30, 2023 consisted of interest income of $148,000 and foreign exchange gains of $55,000. For the three months ended September 30, 2022, Other Income / (Expense) consisted of interest expense of ($85,000) and foreign exchange gains of $85,000. Higher cash balances on hand, no outstanding borrowings and a stronger U.S. dollar in the 2023 quarter were responsible for the favorable year-over-year variance from the 2022 period.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for the three months ended September 30, 2023 totaled $29,000, representing an effective tax rate on pre-tax income of 18.8% compared to $1.0 million for the three months ended September 30, 2022, which represented a 28.3% effective tax rate on pre-tax income. The higher effective tax rate in the 2022 period largely reflected an increase in our valuation allowance related to foreign net operating losses in Singapore, Ireland and the UK. Additionally, the tax rate in 2023 reflected a benefit related to an adjustment for non-deductible meals and entertainment.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Operations for the Nine Months Ended September 30, 2023 as Compared to the Nine Months Ended September 30, 2022: </w:t>
      </w:r>
    </w:p>
    <w:p>
      <w:pPr>
        <w:pStyle w:val="TextBody"/>
        <w:bidi w:val="0"/>
        <w:spacing w:before="120" w:after="0"/>
        <w:jc w:val="left"/>
        <w:rPr>
          <w:rFonts w:ascii="Times New Roman" w:hAnsi="Times New Roman"/>
          <w:i/>
          <w:sz w:val="20"/>
        </w:rPr>
      </w:pPr>
      <w:r>
        <w:rPr>
          <w:rFonts w:ascii="Times New Roman" w:hAnsi="Times New Roman"/>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Revenues for the nine months ended September 30, 2023 totaled $155.0 million, compared to $185.0 million for the corresponding nine-month period in 2022. This 16% year-over-year revenue decline reflected a 16% decrease in our IT Staffing Services segment and a 17% decline in our Data and Analytics Services segment. For the nine months ended September 30, 2023, the Company had one client that had revenues in excess of 10% of total revenues (CGI = 23.7%). For the nine months ended September 30, 2022, the Company had the same one client that had revenues in excess of 10% of total revenues (CGI = 21.3%). The Company’s top ten clients represented approximately 54% and 53% of total revenues for the nine months ended September 30,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Below is a tabular presentation of revenues by reportable segment for the nine months ended September 30, 2023 and 2022, respectively: </w:t>
      </w:r>
    </w:p>
    <w:p>
      <w:pPr>
        <w:pStyle w:val="TextBody"/>
        <w:bidi w:val="0"/>
        <w:spacing w:before="0" w:after="0"/>
        <w:jc w:val="left"/>
        <w:rPr/>
      </w:pPr>
      <w:r>
        <w:rPr/>
        <w:t> </w:t>
      </w:r>
    </w:p>
    <w:tbl>
      <w:tblPr>
        <w:tblW w:w="6825" w:type="dxa"/>
        <w:jc w:val="left"/>
        <w:tblInd w:w="0" w:type="dxa"/>
        <w:tblLayout w:type="fixed"/>
        <w:tblCellMar>
          <w:top w:w="0" w:type="dxa"/>
          <w:left w:w="0" w:type="dxa"/>
          <w:bottom w:w="0" w:type="dxa"/>
          <w:right w:w="0" w:type="dxa"/>
        </w:tblCellMar>
      </w:tblPr>
      <w:tblGrid>
        <w:gridCol w:w="2300"/>
        <w:gridCol w:w="120"/>
        <w:gridCol w:w="415"/>
        <w:gridCol w:w="1660"/>
        <w:gridCol w:w="60"/>
        <w:gridCol w:w="120"/>
        <w:gridCol w:w="415"/>
        <w:gridCol w:w="1660"/>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Revenues (Amounts in millions)</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2022</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26.2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31.5</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right"/>
              <w:rPr/>
            </w:pPr>
            <w:r>
              <w:rPr/>
              <w:t>128.8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right"/>
              <w:rPr/>
            </w:pPr>
            <w:r>
              <w:rPr/>
              <w:t>153.5</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5" w:type="dxa"/>
            <w:tcBorders/>
            <w:vAlign w:val="center"/>
          </w:tcPr>
          <w:p>
            <w:pPr>
              <w:pStyle w:val="TableContents"/>
              <w:pBdr>
                <w:top w:val="single" w:sz="2" w:space="1" w:color="000000"/>
              </w:pBdr>
              <w:bidi w:val="0"/>
              <w:spacing w:before="0" w:after="0"/>
              <w:jc w:val="left"/>
              <w:rPr/>
            </w:pPr>
            <w:r>
              <w:rPr/>
              <w:t> </w:t>
            </w:r>
          </w:p>
        </w:tc>
        <w:tc>
          <w:tcPr>
            <w:tcW w:w="16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5" w:type="dxa"/>
            <w:tcBorders/>
            <w:vAlign w:val="center"/>
          </w:tcPr>
          <w:p>
            <w:pPr>
              <w:pStyle w:val="TableContents"/>
              <w:pBdr>
                <w:top w:val="single" w:sz="2" w:space="1" w:color="000000"/>
              </w:pBdr>
              <w:bidi w:val="0"/>
              <w:spacing w:before="0" w:after="0"/>
              <w:jc w:val="left"/>
              <w:rPr/>
            </w:pPr>
            <w:r>
              <w:rPr/>
              <w:t> </w:t>
            </w:r>
          </w:p>
        </w:tc>
        <w:tc>
          <w:tcPr>
            <w:tcW w:w="16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155.0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185.0</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5" w:type="dxa"/>
            <w:tcBorders/>
            <w:vAlign w:val="center"/>
          </w:tcPr>
          <w:p>
            <w:pPr>
              <w:pStyle w:val="TableContents"/>
              <w:pBdr>
                <w:top w:val="double" w:sz="6" w:space="1" w:color="000000"/>
              </w:pBdr>
              <w:bidi w:val="0"/>
              <w:spacing w:before="0" w:after="0"/>
              <w:jc w:val="left"/>
              <w:rPr/>
            </w:pPr>
            <w:r>
              <w:rPr/>
              <w:t> </w:t>
            </w:r>
          </w:p>
        </w:tc>
        <w:tc>
          <w:tcPr>
            <w:tcW w:w="16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5" w:type="dxa"/>
            <w:tcBorders/>
            <w:vAlign w:val="center"/>
          </w:tcPr>
          <w:p>
            <w:pPr>
              <w:pStyle w:val="TableContents"/>
              <w:pBdr>
                <w:top w:val="double" w:sz="6" w:space="1" w:color="000000"/>
              </w:pBdr>
              <w:bidi w:val="0"/>
              <w:spacing w:before="0" w:after="0"/>
              <w:jc w:val="left"/>
              <w:rPr/>
            </w:pPr>
            <w:r>
              <w:rPr/>
              <w:t> </w:t>
            </w:r>
          </w:p>
        </w:tc>
        <w:tc>
          <w:tcPr>
            <w:tcW w:w="16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Revenues from our Data and Analytics Services segment totaled $26.2 million during the nine months ended September 30, 2023, compared to $31.5 million in the corresponding nine-month period last year. The 17% year-over-year decline reflected client spending reductions on several existing projects and assignment delays on new orders. </w:t>
      </w:r>
    </w:p>
    <w:p>
      <w:pPr>
        <w:pStyle w:val="TextBody"/>
        <w:bidi w:val="0"/>
        <w:spacing w:before="240" w:after="0"/>
        <w:jc w:val="left"/>
        <w:rPr>
          <w:rFonts w:ascii="Times New Roman" w:hAnsi="Times New Roman"/>
          <w:sz w:val="20"/>
        </w:rPr>
      </w:pPr>
      <w:r>
        <w:rPr>
          <w:rFonts w:ascii="Times New Roman" w:hAnsi="Times New Roman"/>
          <w:sz w:val="20"/>
        </w:rPr>
        <w:t xml:space="preserve">Revenues from our IT Staffing Services segment totaled $128.8 million in the nine months ended September 30, 2023, compared to $153.5 million during the corresponding 2022 period. This 16% decline largely reflected a lower level of billable consultants due to lower demand for staffing services in the 2023 period. </w:t>
      </w:r>
    </w:p>
    <w:p>
      <w:pPr>
        <w:pStyle w:val="TextBody"/>
        <w:bidi w:val="0"/>
        <w:spacing w:before="360" w:after="0"/>
        <w:jc w:val="left"/>
        <w:rPr>
          <w:rFonts w:ascii="Times New Roman" w:hAnsi="Times New Roman"/>
          <w:i/>
          <w:sz w:val="20"/>
        </w:rPr>
      </w:pPr>
      <w:r>
        <w:rPr>
          <w:rFonts w:ascii="Times New Roman" w:hAnsi="Times New Roman"/>
          <w:i/>
          <w:sz w:val="20"/>
        </w:rPr>
        <w:t xml:space="preserve">Gross Margins: </w:t>
      </w:r>
    </w:p>
    <w:p>
      <w:pPr>
        <w:pStyle w:val="TextBody"/>
        <w:bidi w:val="0"/>
        <w:spacing w:before="120" w:after="0"/>
        <w:jc w:val="left"/>
        <w:rPr>
          <w:rFonts w:ascii="Times New Roman" w:hAnsi="Times New Roman"/>
          <w:sz w:val="20"/>
        </w:rPr>
      </w:pPr>
      <w:r>
        <w:rPr>
          <w:rFonts w:ascii="Times New Roman" w:hAnsi="Times New Roman"/>
          <w:sz w:val="20"/>
        </w:rPr>
        <w:t xml:space="preserve">Gross profits in the nine months ended September 30, 2022 totaled $39.7 million, compared to $49.0 million during the corresponding 2022 period. Gross profit as a percentage of revenue was 25.6% for the nine-month period ended September 30, 2023, compared to 26.5% during the same period of 2022. This 90-basis point decline reflected lower gross margins in the IT Staffing Services segment. </w:t>
      </w:r>
    </w:p>
    <w:p>
      <w:pPr>
        <w:pStyle w:val="TextBody"/>
        <w:bidi w:val="0"/>
        <w:spacing w:before="240" w:after="0"/>
        <w:jc w:val="left"/>
        <w:rPr>
          <w:rFonts w:ascii="Times New Roman" w:hAnsi="Times New Roman"/>
          <w:sz w:val="20"/>
        </w:rPr>
      </w:pPr>
      <w:r>
        <w:rPr>
          <w:rFonts w:ascii="Times New Roman" w:hAnsi="Times New Roman"/>
          <w:sz w:val="20"/>
        </w:rPr>
        <w:t xml:space="preserve">Below is a tabular presentation of gross margin by reporting segment for the nine months ended September 30, 2023 and 2022, respectively: </w:t>
      </w:r>
    </w:p>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2300"/>
        <w:gridCol w:w="120"/>
        <w:gridCol w:w="249"/>
        <w:gridCol w:w="1826"/>
        <w:gridCol w:w="275"/>
        <w:gridCol w:w="60"/>
        <w:gridCol w:w="249"/>
        <w:gridCol w:w="1826"/>
        <w:gridCol w:w="29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Gross Margin</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2022</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Data and Analytics Services</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826" w:type="dxa"/>
            <w:tcBorders/>
            <w:shd w:fill="CCEEFF" w:val="clear"/>
            <w:vAlign w:val="center"/>
          </w:tcPr>
          <w:p>
            <w:pPr>
              <w:pStyle w:val="TableContents"/>
              <w:bidi w:val="0"/>
              <w:spacing w:before="0" w:after="283"/>
              <w:jc w:val="right"/>
              <w:rPr/>
            </w:pPr>
            <w:r>
              <w:rPr/>
              <w:t>43.1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826" w:type="dxa"/>
            <w:tcBorders/>
            <w:shd w:fill="CCEEFF" w:val="clear"/>
            <w:vAlign w:val="center"/>
          </w:tcPr>
          <w:p>
            <w:pPr>
              <w:pStyle w:val="TableContents"/>
              <w:bidi w:val="0"/>
              <w:spacing w:before="0" w:after="283"/>
              <w:jc w:val="right"/>
              <w:rPr/>
            </w:pPr>
            <w:r>
              <w:rPr/>
              <w:t>42.8</w:t>
            </w:r>
          </w:p>
        </w:tc>
        <w:tc>
          <w:tcPr>
            <w:tcW w:w="29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 Staffing Services</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right"/>
              <w:rPr/>
            </w:pPr>
            <w:r>
              <w:rPr/>
              <w:t>22.0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right"/>
              <w:rPr/>
            </w:pPr>
            <w:r>
              <w:rPr/>
              <w:t>23.1</w:t>
            </w:r>
          </w:p>
        </w:tc>
        <w:tc>
          <w:tcPr>
            <w:tcW w:w="29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pBdr>
                <w:top w:val="single" w:sz="2" w:space="1" w:color="000000"/>
              </w:pBdr>
              <w:bidi w:val="0"/>
              <w:spacing w:before="0" w:after="0"/>
              <w:jc w:val="left"/>
              <w:rPr/>
            </w:pPr>
            <w:r>
              <w:rPr/>
              <w:t> </w:t>
            </w:r>
          </w:p>
        </w:tc>
        <w:tc>
          <w:tcPr>
            <w:tcW w:w="1826"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pBdr>
                <w:top w:val="single" w:sz="2" w:space="1" w:color="000000"/>
              </w:pBdr>
              <w:bidi w:val="0"/>
              <w:spacing w:before="0" w:after="0"/>
              <w:jc w:val="left"/>
              <w:rPr/>
            </w:pPr>
            <w:r>
              <w:rPr/>
              <w:t> </w:t>
            </w:r>
          </w:p>
        </w:tc>
        <w:tc>
          <w:tcPr>
            <w:tcW w:w="182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margin</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826" w:type="dxa"/>
            <w:tcBorders/>
            <w:shd w:fill="CCEEFF" w:val="clear"/>
            <w:vAlign w:val="center"/>
          </w:tcPr>
          <w:p>
            <w:pPr>
              <w:pStyle w:val="TableContents"/>
              <w:bidi w:val="0"/>
              <w:spacing w:before="0" w:after="283"/>
              <w:jc w:val="right"/>
              <w:rPr/>
            </w:pPr>
            <w:r>
              <w:rPr/>
              <w:t>25.6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826" w:type="dxa"/>
            <w:tcBorders/>
            <w:shd w:fill="CCEEFF" w:val="clear"/>
            <w:vAlign w:val="center"/>
          </w:tcPr>
          <w:p>
            <w:pPr>
              <w:pStyle w:val="TableContents"/>
              <w:bidi w:val="0"/>
              <w:spacing w:before="0" w:after="283"/>
              <w:jc w:val="right"/>
              <w:rPr/>
            </w:pPr>
            <w:r>
              <w:rPr/>
              <w:t>26.5</w:t>
            </w:r>
          </w:p>
        </w:tc>
        <w:tc>
          <w:tcPr>
            <w:tcW w:w="29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pBdr>
                <w:top w:val="double" w:sz="6" w:space="1" w:color="000000"/>
              </w:pBdr>
              <w:bidi w:val="0"/>
              <w:spacing w:before="0" w:after="0"/>
              <w:jc w:val="left"/>
              <w:rPr/>
            </w:pPr>
            <w:r>
              <w:rPr/>
              <w:t> </w:t>
            </w:r>
          </w:p>
        </w:tc>
        <w:tc>
          <w:tcPr>
            <w:tcW w:w="1826"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pBdr>
                <w:top w:val="double" w:sz="6" w:space="1" w:color="000000"/>
              </w:pBdr>
              <w:bidi w:val="0"/>
              <w:spacing w:before="0" w:after="0"/>
              <w:jc w:val="left"/>
              <w:rPr/>
            </w:pPr>
            <w:r>
              <w:rPr/>
              <w:t> </w:t>
            </w:r>
          </w:p>
        </w:tc>
        <w:tc>
          <w:tcPr>
            <w:tcW w:w="1826"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Gross margins from our Data and Analytics Services segment were 43.1% of revenues during the nine-month period ended September 30, 2023, compared to gross margins of 42.8% in the corresponding period of 2022. The margin improvement reflected better utilization rates during the first nine months of 2023. </w:t>
      </w:r>
    </w:p>
    <w:p>
      <w:pPr>
        <w:pStyle w:val="TextBody"/>
        <w:bidi w:val="0"/>
        <w:spacing w:before="240" w:after="0"/>
        <w:jc w:val="left"/>
        <w:rPr>
          <w:rFonts w:ascii="Times New Roman" w:hAnsi="Times New Roman"/>
          <w:sz w:val="20"/>
        </w:rPr>
      </w:pPr>
      <w:r>
        <w:rPr>
          <w:rFonts w:ascii="Times New Roman" w:hAnsi="Times New Roman"/>
          <w:sz w:val="20"/>
        </w:rPr>
        <w:t xml:space="preserve">Gross margins from our IT Staffing Services segment were 22.0% in the nine months ended September 30, 2023, compared to 23.1% during the corresponding period of 2022. This 110-basis point reduction was due to lower permanent placement revenues of $0.9 million (70-basis point impact of GM%) and higher medical claims related to our self-insured healthcare program in the 2023 period.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(“SG&amp;A”) Expenses: </w:t>
      </w:r>
    </w:p>
    <w:p>
      <w:pPr>
        <w:pStyle w:val="TextBody"/>
        <w:bidi w:val="0"/>
        <w:spacing w:before="120" w:after="0"/>
        <w:jc w:val="left"/>
        <w:rPr>
          <w:rFonts w:ascii="Times New Roman" w:hAnsi="Times New Roman"/>
          <w:sz w:val="20"/>
        </w:rPr>
      </w:pPr>
      <w:r>
        <w:rPr>
          <w:rFonts w:ascii="Times New Roman" w:hAnsi="Times New Roman"/>
          <w:sz w:val="20"/>
        </w:rPr>
        <w:t xml:space="preserve">Below is a tabular presentation of operating expenses by expense category for the nine months ended September 30, 2023 and 2022, respectively: </w:t>
      </w:r>
    </w:p>
    <w:p>
      <w:pPr>
        <w:pStyle w:val="TextBody"/>
        <w:bidi w:val="0"/>
        <w:spacing w:before="0" w:after="0"/>
        <w:jc w:val="left"/>
        <w:rPr/>
      </w:pPr>
      <w:r>
        <w:rPr/>
        <w:t> </w:t>
      </w:r>
    </w:p>
    <w:tbl>
      <w:tblPr>
        <w:tblW w:w="8490" w:type="dxa"/>
        <w:jc w:val="left"/>
        <w:tblInd w:w="0" w:type="dxa"/>
        <w:tblLayout w:type="fixed"/>
        <w:tblCellMar>
          <w:top w:w="0" w:type="dxa"/>
          <w:left w:w="0" w:type="dxa"/>
          <w:bottom w:w="0" w:type="dxa"/>
          <w:right w:w="0" w:type="dxa"/>
        </w:tblCellMar>
      </w:tblPr>
      <w:tblGrid>
        <w:gridCol w:w="3965"/>
        <w:gridCol w:w="120"/>
        <w:gridCol w:w="500"/>
        <w:gridCol w:w="1575"/>
        <w:gridCol w:w="60"/>
        <w:gridCol w:w="120"/>
        <w:gridCol w:w="500"/>
        <w:gridCol w:w="1575"/>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b/>
              </w:rPr>
            </w:pPr>
            <w:r>
              <w:rPr>
                <w:b/>
              </w:rPr>
              <w:t>SG&amp;A Expenses (Amounts in millions)</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2022</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Data and Analytics Services Segment</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5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w:t>
            </w:r>
          </w:p>
        </w:tc>
        <w:tc>
          <w:tcPr>
            <w:tcW w:w="1575" w:type="dxa"/>
            <w:tcBorders/>
            <w:vAlign w:val="center"/>
          </w:tcPr>
          <w:p>
            <w:pPr>
              <w:pStyle w:val="TableContents"/>
              <w:bidi w:val="0"/>
              <w:spacing w:before="0" w:after="283"/>
              <w:jc w:val="right"/>
              <w:rPr/>
            </w:pPr>
            <w:r>
              <w:rPr/>
              <w:t>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w:t>
            </w:r>
          </w:p>
        </w:tc>
        <w:tc>
          <w:tcPr>
            <w:tcW w:w="1575"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&amp; Administrative</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single" w:sz="2" w:space="1" w:color="000000"/>
              </w:pBdr>
              <w:bidi w:val="0"/>
              <w:spacing w:before="0" w:after="0"/>
              <w:jc w:val="left"/>
              <w:rPr/>
            </w:pPr>
            <w:r>
              <w:rPr/>
              <w:t> </w:t>
            </w:r>
          </w:p>
        </w:tc>
        <w:tc>
          <w:tcPr>
            <w:tcW w:w="157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single" w:sz="2" w:space="1" w:color="000000"/>
              </w:pBdr>
              <w:bidi w:val="0"/>
              <w:spacing w:before="0" w:after="0"/>
              <w:jc w:val="left"/>
              <w:rPr/>
            </w:pPr>
            <w:r>
              <w:rPr/>
              <w:t> </w:t>
            </w:r>
          </w:p>
        </w:tc>
        <w:tc>
          <w:tcPr>
            <w:tcW w:w="157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 Data and Analytics Services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b/>
              </w:rPr>
            </w:pPr>
            <w:r>
              <w:rPr>
                <w:b/>
              </w:rPr>
              <w:t>$</w:t>
            </w:r>
          </w:p>
        </w:tc>
        <w:tc>
          <w:tcPr>
            <w:tcW w:w="1575" w:type="dxa"/>
            <w:tcBorders/>
            <w:shd w:fill="CCEEFF" w:val="clear"/>
            <w:vAlign w:val="center"/>
          </w:tcPr>
          <w:p>
            <w:pPr>
              <w:pStyle w:val="TableContents"/>
              <w:bidi w:val="0"/>
              <w:spacing w:before="0" w:after="283"/>
              <w:jc w:val="right"/>
              <w:rPr>
                <w:b/>
              </w:rPr>
            </w:pPr>
            <w:r>
              <w:rPr>
                <w:b/>
              </w:rPr>
              <w:t>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b/>
              </w:rPr>
            </w:pPr>
            <w:r>
              <w:rPr>
                <w:b/>
              </w:rPr>
              <w:t>$</w:t>
            </w:r>
          </w:p>
        </w:tc>
        <w:tc>
          <w:tcPr>
            <w:tcW w:w="1575" w:type="dxa"/>
            <w:tcBorders/>
            <w:shd w:fill="CCEEFF" w:val="clear"/>
            <w:vAlign w:val="center"/>
          </w:tcPr>
          <w:p>
            <w:pPr>
              <w:pStyle w:val="TableContents"/>
              <w:bidi w:val="0"/>
              <w:spacing w:before="0" w:after="283"/>
              <w:jc w:val="right"/>
              <w:rPr>
                <w:b/>
              </w:rPr>
            </w:pPr>
            <w:r>
              <w:rPr>
                <w:b/>
              </w:rPr>
              <w:t>11.0</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double" w:sz="6" w:space="1" w:color="000000"/>
              </w:pBdr>
              <w:bidi w:val="0"/>
              <w:spacing w:before="0" w:after="0"/>
              <w:jc w:val="left"/>
              <w:rPr/>
            </w:pPr>
            <w:r>
              <w:rPr/>
              <w:t> </w:t>
            </w:r>
          </w:p>
        </w:tc>
        <w:tc>
          <w:tcPr>
            <w:tcW w:w="157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double" w:sz="6" w:space="1" w:color="000000"/>
              </w:pBdr>
              <w:bidi w:val="0"/>
              <w:spacing w:before="0" w:after="0"/>
              <w:jc w:val="left"/>
              <w:rPr/>
            </w:pPr>
            <w:r>
              <w:rPr/>
              <w:t> </w:t>
            </w:r>
          </w:p>
        </w:tc>
        <w:tc>
          <w:tcPr>
            <w:tcW w:w="157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IT Staffing Services Segment</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7.3</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Operations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&amp; Administrative</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9.2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single" w:sz="2" w:space="1" w:color="000000"/>
              </w:pBdr>
              <w:bidi w:val="0"/>
              <w:spacing w:before="0" w:after="0"/>
              <w:jc w:val="left"/>
              <w:rPr/>
            </w:pPr>
            <w:r>
              <w:rPr/>
              <w:t> </w:t>
            </w:r>
          </w:p>
        </w:tc>
        <w:tc>
          <w:tcPr>
            <w:tcW w:w="157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single" w:sz="2" w:space="1" w:color="000000"/>
              </w:pBdr>
              <w:bidi w:val="0"/>
              <w:spacing w:before="0" w:after="0"/>
              <w:jc w:val="left"/>
              <w:rPr/>
            </w:pPr>
            <w:r>
              <w:rPr/>
              <w:t> </w:t>
            </w:r>
          </w:p>
        </w:tc>
        <w:tc>
          <w:tcPr>
            <w:tcW w:w="157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 IT Staffing Services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b/>
              </w:rPr>
            </w:pPr>
            <w:r>
              <w:rPr>
                <w:b/>
              </w:rPr>
              <w:t>$</w:t>
            </w:r>
          </w:p>
        </w:tc>
        <w:tc>
          <w:tcPr>
            <w:tcW w:w="1575" w:type="dxa"/>
            <w:tcBorders/>
            <w:vAlign w:val="center"/>
          </w:tcPr>
          <w:p>
            <w:pPr>
              <w:pStyle w:val="TableContents"/>
              <w:bidi w:val="0"/>
              <w:spacing w:before="0" w:after="283"/>
              <w:jc w:val="right"/>
              <w:rPr>
                <w:b/>
              </w:rPr>
            </w:pPr>
            <w:r>
              <w:rPr>
                <w:b/>
              </w:rPr>
              <w:t>23.1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b/>
              </w:rPr>
            </w:pPr>
            <w:r>
              <w:rPr>
                <w:b/>
              </w:rPr>
              <w:t>$</w:t>
            </w:r>
          </w:p>
        </w:tc>
        <w:tc>
          <w:tcPr>
            <w:tcW w:w="1575" w:type="dxa"/>
            <w:tcBorders/>
            <w:vAlign w:val="center"/>
          </w:tcPr>
          <w:p>
            <w:pPr>
              <w:pStyle w:val="TableContents"/>
              <w:bidi w:val="0"/>
              <w:spacing w:before="0" w:after="283"/>
              <w:jc w:val="right"/>
              <w:rPr>
                <w:b/>
              </w:rPr>
            </w:pPr>
            <w:r>
              <w:rPr>
                <w:b/>
              </w:rPr>
              <w:t>24.9</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double" w:sz="6" w:space="1" w:color="000000"/>
              </w:pBdr>
              <w:bidi w:val="0"/>
              <w:spacing w:before="0" w:after="0"/>
              <w:jc w:val="left"/>
              <w:rPr/>
            </w:pPr>
            <w:r>
              <w:rPr/>
              <w:t> </w:t>
            </w:r>
          </w:p>
        </w:tc>
        <w:tc>
          <w:tcPr>
            <w:tcW w:w="157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double" w:sz="6" w:space="1" w:color="000000"/>
              </w:pBdr>
              <w:bidi w:val="0"/>
              <w:spacing w:before="0" w:after="0"/>
              <w:jc w:val="left"/>
              <w:rPr/>
            </w:pPr>
            <w:r>
              <w:rPr/>
              <w:t> </w:t>
            </w:r>
          </w:p>
        </w:tc>
        <w:tc>
          <w:tcPr>
            <w:tcW w:w="157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1575" w:type="dxa"/>
            <w:tcBorders/>
            <w:shd w:fill="CCEEFF" w:val="clear"/>
            <w:vAlign w:val="center"/>
          </w:tcPr>
          <w:p>
            <w:pPr>
              <w:pStyle w:val="TableContents"/>
              <w:bidi w:val="0"/>
              <w:spacing w:before="0" w:after="283"/>
              <w:jc w:val="right"/>
              <w:rPr/>
            </w:pPr>
            <w:r>
              <w:rPr/>
              <w:t>2.4</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Reserve for Cyber-security Breach</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0.4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Severance expense</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0.1</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Employment-related Claim, net of Recoveries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double" w:sz="6" w:space="1" w:color="000000"/>
              </w:pBdr>
              <w:bidi w:val="0"/>
              <w:spacing w:before="0" w:after="0"/>
              <w:jc w:val="left"/>
              <w:rPr/>
            </w:pPr>
            <w:r>
              <w:rPr/>
              <w:t> </w:t>
            </w:r>
          </w:p>
        </w:tc>
        <w:tc>
          <w:tcPr>
            <w:tcW w:w="157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double" w:sz="6" w:space="1" w:color="000000"/>
              </w:pBdr>
              <w:bidi w:val="0"/>
              <w:spacing w:before="0" w:after="0"/>
              <w:jc w:val="left"/>
              <w:rPr/>
            </w:pPr>
            <w:r>
              <w:rPr/>
              <w:t> </w:t>
            </w:r>
          </w:p>
        </w:tc>
        <w:tc>
          <w:tcPr>
            <w:tcW w:w="157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SG&amp;A Expenses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b/>
              </w:rPr>
            </w:pPr>
            <w:r>
              <w:rPr>
                <w:b/>
              </w:rPr>
              <w:t>$</w:t>
            </w:r>
          </w:p>
        </w:tc>
        <w:tc>
          <w:tcPr>
            <w:tcW w:w="1575" w:type="dxa"/>
            <w:tcBorders/>
            <w:shd w:fill="CCEEFF" w:val="clear"/>
            <w:vAlign w:val="center"/>
          </w:tcPr>
          <w:p>
            <w:pPr>
              <w:pStyle w:val="TableContents"/>
              <w:bidi w:val="0"/>
              <w:spacing w:before="0" w:after="283"/>
              <w:jc w:val="right"/>
              <w:rPr>
                <w:b/>
              </w:rPr>
            </w:pPr>
            <w:r>
              <w:rPr>
                <w:b/>
              </w:rPr>
              <w:t>42.0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b/>
              </w:rPr>
            </w:pPr>
            <w:r>
              <w:rPr>
                <w:b/>
              </w:rPr>
              <w:t>$</w:t>
            </w:r>
          </w:p>
        </w:tc>
        <w:tc>
          <w:tcPr>
            <w:tcW w:w="1575" w:type="dxa"/>
            <w:tcBorders/>
            <w:shd w:fill="CCEEFF" w:val="clear"/>
            <w:vAlign w:val="center"/>
          </w:tcPr>
          <w:p>
            <w:pPr>
              <w:pStyle w:val="TableContents"/>
              <w:bidi w:val="0"/>
              <w:spacing w:before="0" w:after="283"/>
              <w:jc w:val="right"/>
              <w:rPr>
                <w:b/>
              </w:rPr>
            </w:pPr>
            <w:r>
              <w:rPr>
                <w:b/>
              </w:rPr>
              <w:t>38.8</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double" w:sz="6" w:space="1" w:color="000000"/>
              </w:pBdr>
              <w:bidi w:val="0"/>
              <w:spacing w:before="0" w:after="0"/>
              <w:jc w:val="left"/>
              <w:rPr/>
            </w:pPr>
            <w:r>
              <w:rPr/>
              <w:t> </w:t>
            </w:r>
          </w:p>
        </w:tc>
        <w:tc>
          <w:tcPr>
            <w:tcW w:w="157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pBdr>
                <w:top w:val="double" w:sz="6" w:space="1" w:color="000000"/>
              </w:pBdr>
              <w:bidi w:val="0"/>
              <w:spacing w:before="0" w:after="0"/>
              <w:jc w:val="left"/>
              <w:rPr/>
            </w:pPr>
            <w:r>
              <w:rPr/>
              <w:t> </w:t>
            </w:r>
          </w:p>
        </w:tc>
        <w:tc>
          <w:tcPr>
            <w:tcW w:w="157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SG&amp;A expenses for the nine months ended September 30, 2023 totaled $42.0 million or 27.1% of total revenues, compared to $38.8 million or 21.0% of total revenues for the nine months ended September 30, 2022. Excluding the employment-related claim in 2023, the reserve for a cyber-security breach and severance expense in 2022, and the amortization of acquired intangible assets in both periods, SG&amp;A expense as a percentage of total revenues was 23.8% and 19.4%, respectively. </w:t>
      </w:r>
    </w:p>
    <w:p>
      <w:pPr>
        <w:pStyle w:val="TextBody"/>
        <w:bidi w:val="0"/>
        <w:spacing w:before="240" w:after="0"/>
        <w:jc w:val="left"/>
        <w:rPr>
          <w:rFonts w:ascii="Times New Roman" w:hAnsi="Times New Roman"/>
          <w:sz w:val="20"/>
        </w:rPr>
      </w:pPr>
      <w:r>
        <w:rPr>
          <w:rFonts w:ascii="Times New Roman" w:hAnsi="Times New Roman"/>
          <w:sz w:val="20"/>
        </w:rPr>
        <w:t xml:space="preserve">Fluctuations within SG&amp;A expense components during the first nine months of 2023, compared to the first nine months of 2022, included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expense decreased by $0.4 million in the 2023 period compared to the corresponding 2022 period. Sales expense in our Data and Analytics Services segment increased by $0.5 million in the 2023 period and reflected lower variable compensation expense in the third quarter of 2022. Sales expense in our IT Staffing Services segment was lower by $0.9 million due to lower variable compensation and other variable expense items.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Operations expenses decreased by $2.5 million in the 2023 period, compared to the corresponding 2022 period. In our Data and Analytics Services segment operations expenses decreased by $0.8 million due to staff reductions and lower commission expense. Operations expenses in our IT Staffing Services segment declined by $1.7 million and largely related to recruitment staff reductions and lower other variable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 increased by $3.8 million in the 2023 period compared to the corresponding 2022 period. General and administrative expense in our Data and Analytics Services segment increased by $3.0 million due to executive leadership staff increases and higher professional services fees related to an employment claim of $1.2 million. In our IT Staffing Services segment, general and administrative expense increased by $0.8 million due to higher corporate-related expenses and an increase in cyber-security expenditures.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acquired intangible assets was $2.1 million in 2023, compared to $2.4 million in the 2022 period.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110"/>
        <w:gridCol w:w="6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Reserve for a cyber-security breach totaled $0.4 million in the 2022, compared to no expense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Severance expense associated with the closure of operations in Singapore and Ireland, and the rationalization of our cost structure in the UK totaled $0.1 million in the 2022 period, compared to no expense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Employment-related claim reserve, net of expected recoveries, totaled $3.1 million in the 2023 period, compared to no expense in the corresponding 2022 period.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Income / (Expense) Components: </w:t>
      </w:r>
    </w:p>
    <w:p>
      <w:pPr>
        <w:pStyle w:val="TextBody"/>
        <w:bidi w:val="0"/>
        <w:spacing w:before="120" w:after="0"/>
        <w:jc w:val="left"/>
        <w:rPr>
          <w:rFonts w:ascii="Times New Roman" w:hAnsi="Times New Roman"/>
          <w:sz w:val="20"/>
        </w:rPr>
      </w:pPr>
      <w:r>
        <w:rPr>
          <w:rFonts w:ascii="Times New Roman" w:hAnsi="Times New Roman"/>
          <w:sz w:val="20"/>
        </w:rPr>
        <w:t xml:space="preserve">Other Income / (Expense) for the nine months ended September 30, 2023 consisted of interest income of $232,000 and foreign exchange losses of ($32,000). For the nine months ended September 30, 2022, Other Income / (Expense) consisted of interest expense of ($326,000) and foreign exchange gains of $334,000. Currency fluctuations, cash balances on hand and no outstanding borrowings in the 2023 period were responsible for the favorable year-over-year variance.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for the nine months ended September 30, 2023 totaled $358,000, representing an effective tax rate on pre-tax loss of 16.7% compared to income tax expense of $3.0 million for the nine months ended September 30, 2022, which represented a 29.8% effective tax rate on pre-tax income. The higher effective tax rate in the 2022 period was due to higher state taxes and higher excess tax expense from stock options and restricted shares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i/>
          <w:sz w:val="20"/>
        </w:rPr>
      </w:pPr>
      <w:r>
        <w:rPr>
          <w:rFonts w:ascii="Times New Roman" w:hAnsi="Times New Roman"/>
          <w:i/>
          <w:sz w:val="20"/>
        </w:rPr>
        <w:t xml:space="preserve">Financial Conditions and Liquidity: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2023, we had cash balances on hand of $15.9 million, no bank debt outstanding and approximately $25 million of borrowing capacity under our existing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Historically, we have funded our organic business needs with cash generated from operating activities. Controlling our operating working capital levels by closely managing our accounts receivable balance is an important element of cash generation. As of September 30, 2023, our accounts receivable “days sales outstanding” (“DSOs”) measurement improved by 1-day to 55-days from our June 30, 2023 measurement.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cash provided by operating activities, cash balances on hand and current availability under our credit facility will be adequate to fund our business needs and support our share repurchase program that we announced in February 2023 over the next twelve months, exclusive of any acquisition activity. </w:t>
      </w:r>
    </w:p>
    <w:p>
      <w:pPr>
        <w:pStyle w:val="TextBody"/>
        <w:bidi w:val="0"/>
        <w:spacing w:before="360" w:after="0"/>
        <w:jc w:val="left"/>
        <w:rPr>
          <w:rFonts w:ascii="Times New Roman" w:hAnsi="Times New Roman"/>
          <w:i/>
          <w:sz w:val="20"/>
        </w:rPr>
      </w:pPr>
      <w:r>
        <w:rPr>
          <w:rFonts w:ascii="Times New Roman" w:hAnsi="Times New Roman"/>
          <w:i/>
          <w:sz w:val="20"/>
        </w:rPr>
        <w:t xml:space="preserve">Cash flows provided by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provided by operating activities for the nine months ended September 30, 2023 totaled $10.5 million compared to cash provided by operating activities of $7.7 million during the nine months ended September 30, 2022. Elements of cash flows in the 2023 period were net loss of ($1.8 million), non-cash charges of $5.1 million, and a decrease in operating working capital levels of $7.2 million. During the nine months ended September 30, 2022, elements of cash flows were net income of $7.2 million, non-cash charges of $5.5 million and an increase in operating working capital levels of ($5.0 million). The operating working capital decline in 2023 reflected our lower revenues and a lower DSO measurement compared to revenue growth in the 2022 period. </w:t>
      </w:r>
    </w:p>
    <w:p>
      <w:pPr>
        <w:pStyle w:val="TextBody"/>
        <w:bidi w:val="0"/>
        <w:spacing w:before="360" w:after="0"/>
        <w:jc w:val="left"/>
        <w:rPr>
          <w:rFonts w:ascii="Times New Roman" w:hAnsi="Times New Roman"/>
          <w:i/>
          <w:sz w:val="20"/>
        </w:rPr>
      </w:pPr>
      <w:r>
        <w:rPr>
          <w:rFonts w:ascii="Times New Roman" w:hAnsi="Times New Roman"/>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(used in) investing activities for the nine months ended September 30, 2023 was ($0.1 million) compared to ($0.8 million) for the nine months ended September 30, 2022. In 2023, capital expenditures totaled ($0.2 million), partially offset by the recovery of non-current deposits of $0.1 million. In 2022, capital expenditures accounted for nearly all of our investing activities. Capital expenditures during the 2022 period were higher than in 2023 and largely related to system upgrades and transitioning our Data and Analytics Services segment to our Oracle Cloud platform. </w:t>
      </w:r>
    </w:p>
    <w:p>
      <w:pPr>
        <w:pStyle w:val="TextBody"/>
        <w:bidi w:val="0"/>
        <w:spacing w:before="360" w:after="0"/>
        <w:jc w:val="left"/>
        <w:rPr>
          <w:rFonts w:ascii="Times New Roman" w:hAnsi="Times New Roman"/>
          <w:i/>
          <w:sz w:val="20"/>
        </w:rPr>
      </w:pPr>
      <w:r>
        <w:rPr>
          <w:rFonts w:ascii="Times New Roman" w:hAnsi="Times New Roman"/>
          <w:i/>
          <w:sz w:val="20"/>
        </w:rPr>
        <w:t xml:space="preserve">Cash flows (used in)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(used in) financing activities for the nine months ended September 30, 2023 totaled ($1.5 million) and consisted of ($1.1 million) of term loan repayments and the purchase of treasury shares under our share repurchase program of ($0.6 million), partially offset by $0.2 million related to proceeds from the issuance of shares of common stock under the Employee Stock Purchase Plan. Cash (used in) financing activities for the nine months ended September 30, 2022 totaled ($9.4 million) and consisted of ($10.9 million) of term loan repayments, partially offset by $1.5 million related to the issuance of common stock applicable to the Company’s Employee Stock Purchase Plan and the exercise of stock options. </w:t>
      </w:r>
    </w:p>
    <w:p>
      <w:pPr>
        <w:pStyle w:val="TextBody"/>
        <w:bidi w:val="0"/>
        <w:spacing w:before="360" w:after="0"/>
        <w:jc w:val="left"/>
        <w:rPr>
          <w:rFonts w:ascii="Times New Roman" w:hAnsi="Times New Roman"/>
          <w:i/>
          <w:sz w:val="20"/>
        </w:rPr>
      </w:pPr>
      <w:r>
        <w:rPr>
          <w:rFonts w:ascii="Times New Roman" w:hAnsi="Times New Roman"/>
          <w:i/>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off-balance sheet arrangements. </w:t>
      </w:r>
    </w:p>
    <w:p>
      <w:pPr>
        <w:pStyle w:val="TextBody"/>
        <w:bidi w:val="0"/>
        <w:spacing w:before="360" w:after="0"/>
        <w:jc w:val="left"/>
        <w:rPr>
          <w:rFonts w:ascii="Times New Roman" w:hAnsi="Times New Roman"/>
          <w:i/>
          <w:sz w:val="20"/>
        </w:rPr>
      </w:pPr>
      <w:r>
        <w:rPr>
          <w:rFonts w:ascii="Times New Roman" w:hAnsi="Times New Roman"/>
          <w:i/>
          <w:sz w:val="20"/>
        </w:rPr>
        <w:t xml:space="preserve">Inflation: </w:t>
      </w:r>
    </w:p>
    <w:p>
      <w:pPr>
        <w:pStyle w:val="TextBody"/>
        <w:bidi w:val="0"/>
        <w:spacing w:before="120" w:after="0"/>
        <w:jc w:val="left"/>
        <w:rPr>
          <w:rFonts w:ascii="Times New Roman" w:hAnsi="Times New Roman"/>
          <w:sz w:val="20"/>
        </w:rPr>
      </w:pPr>
      <w:r>
        <w:rPr>
          <w:rFonts w:ascii="Times New Roman" w:hAnsi="Times New Roman"/>
          <w:sz w:val="20"/>
        </w:rPr>
        <w:t xml:space="preserve">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cost of borrowings. </w:t>
      </w:r>
    </w:p>
    <w:p>
      <w:pPr>
        <w:pStyle w:val="TextBody"/>
        <w:bidi w:val="0"/>
        <w:spacing w:before="240" w:after="0"/>
        <w:jc w:val="left"/>
        <w:rPr>
          <w:rFonts w:ascii="Times New Roman" w:hAnsi="Times New Roman"/>
          <w:sz w:val="20"/>
        </w:rPr>
      </w:pPr>
      <w:r>
        <w:rPr>
          <w:rFonts w:ascii="Times New Roman" w:hAnsi="Times New Roman"/>
          <w:sz w:val="20"/>
        </w:rPr>
        <w:t xml:space="preserve">In addition, refer to “Item 1A. Risk factors” in our 2022 Annual Report on Form 10-K for a discussion about risks that inflation directly or indirectly may pose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Recent accounting pronouncements are described in Note 13 to the accompanying financial statements. </w:t>
      </w:r>
    </w:p>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920"/>
        <w:gridCol w:w="7025"/>
      </w:tblGrid>
      <w:tr>
        <w:trPr/>
        <w:tc>
          <w:tcPr>
            <w:tcW w:w="920" w:type="dxa"/>
            <w:tcBorders/>
            <w:vAlign w:val="center"/>
          </w:tcPr>
          <w:p>
            <w:pPr>
              <w:pStyle w:val="TableContents"/>
              <w:bidi w:val="0"/>
              <w:spacing w:before="0" w:after="283"/>
              <w:jc w:val="left"/>
              <w:rPr>
                <w:b/>
              </w:rPr>
            </w:pPr>
            <w:bookmarkStart w:id="5" w:name="toc553855_10"/>
            <w:bookmarkEnd w:id="5"/>
            <w:r>
              <w:rPr>
                <w:b/>
              </w:rPr>
              <w:t>ITEM 3.</w:t>
            </w:r>
          </w:p>
        </w:tc>
        <w:tc>
          <w:tcPr>
            <w:tcW w:w="7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to the inherent operational risks, the Company is exposed to certain market risks, primarily related to changes in interest rates and currency fluctuations.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2023, we had no outstanding borrowings under our Credit Agreement with PNC Bank — Refer to Note 8 – “Credit Facility” in the Notes to Condensed Consolidated Financial Statements, included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Currency Fluctuations </w:t>
      </w:r>
    </w:p>
    <w:p>
      <w:pPr>
        <w:pStyle w:val="TextBody"/>
        <w:bidi w:val="0"/>
        <w:spacing w:before="120" w:after="0"/>
        <w:jc w:val="left"/>
        <w:rPr>
          <w:rFonts w:ascii="Times New Roman" w:hAnsi="Times New Roman"/>
          <w:sz w:val="20"/>
        </w:rPr>
      </w:pPr>
      <w:r>
        <w:rPr>
          <w:rFonts w:ascii="Times New Roman" w:hAnsi="Times New Roman"/>
          <w:sz w:val="20"/>
        </w:rPr>
        <w:t xml:space="preserve">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Condensed Consolidated Statements of Operations, and have not been material for all periods presented. A hypothetical 10% increase or decrease in overall foreign currency rates in the first nine months of 2023 would not have had a material impact on our consolidated financial statements.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920"/>
        <w:gridCol w:w="2975"/>
      </w:tblGrid>
      <w:tr>
        <w:trPr/>
        <w:tc>
          <w:tcPr>
            <w:tcW w:w="920" w:type="dxa"/>
            <w:tcBorders/>
            <w:vAlign w:val="center"/>
          </w:tcPr>
          <w:p>
            <w:pPr>
              <w:pStyle w:val="TableContents"/>
              <w:bidi w:val="0"/>
              <w:spacing w:before="0" w:after="283"/>
              <w:jc w:val="left"/>
              <w:rPr>
                <w:b/>
              </w:rPr>
            </w:pPr>
            <w:bookmarkStart w:id="6" w:name="toc553855_11"/>
            <w:bookmarkEnd w:id="6"/>
            <w:r>
              <w:rPr>
                <w:b/>
              </w:rPr>
              <w:t>ITEM 4.</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 </w:t>
      </w:r>
    </w:p>
    <w:p>
      <w:pPr>
        <w:pStyle w:val="TextBody"/>
        <w:bidi w:val="0"/>
        <w:spacing w:before="240" w:after="0"/>
        <w:jc w:val="left"/>
        <w:rPr>
          <w:rFonts w:ascii="Times New Roman" w:hAnsi="Times New Roman"/>
          <w:sz w:val="20"/>
        </w:rPr>
      </w:pPr>
      <w:r>
        <w:rPr>
          <w:rFonts w:ascii="Times New Roman" w:hAnsi="Times New Roman"/>
          <w:sz w:val="20"/>
        </w:rPr>
        <w:t xml:space="preserve">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the Company’s internal control over financial reporting during the quarter ended September 30, 2023 that materially affected, or are reasonably likely to materially affect, our internal control over financial reporting. </w:t>
      </w:r>
    </w:p>
    <w:p>
      <w:pPr>
        <w:pStyle w:val="TextBody"/>
        <w:bidi w:val="0"/>
        <w:spacing w:before="480" w:after="0"/>
        <w:jc w:val="center"/>
        <w:rPr>
          <w:rFonts w:ascii="Times New Roman" w:hAnsi="Times New Roman"/>
          <w:b/>
          <w:sz w:val="20"/>
        </w:rPr>
      </w:pPr>
      <w:bookmarkStart w:id="7" w:name="toc553855_12"/>
      <w:bookmarkEnd w:id="7"/>
      <w:r>
        <w:rPr>
          <w:rFonts w:ascii="Times New Roman" w:hAnsi="Times New Roman"/>
          <w:b/>
          <w:sz w:val="20"/>
        </w:rPr>
        <w:t xml:space="preserve">PART II. OTHER INFORMATION </w:t>
      </w:r>
    </w:p>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920"/>
        <w:gridCol w:w="2225"/>
      </w:tblGrid>
      <w:tr>
        <w:trPr/>
        <w:tc>
          <w:tcPr>
            <w:tcW w:w="920" w:type="dxa"/>
            <w:tcBorders/>
            <w:vAlign w:val="center"/>
          </w:tcPr>
          <w:p>
            <w:pPr>
              <w:pStyle w:val="TableContents"/>
              <w:bidi w:val="0"/>
              <w:spacing w:before="0" w:after="283"/>
              <w:jc w:val="left"/>
              <w:rPr>
                <w:b/>
              </w:rPr>
            </w:pPr>
            <w:bookmarkStart w:id="8" w:name="toc553855_13"/>
            <w:bookmarkEnd w:id="8"/>
            <w:r>
              <w:rPr>
                <w:b/>
              </w:rPr>
              <w:t>ITEM 1.</w:t>
            </w:r>
          </w:p>
        </w:tc>
        <w:tc>
          <w:tcPr>
            <w:tcW w:w="2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LEGAL PROCEEDINGS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 </w:t>
      </w:r>
    </w:p>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1100"/>
        <w:gridCol w:w="1505"/>
      </w:tblGrid>
      <w:tr>
        <w:trPr/>
        <w:tc>
          <w:tcPr>
            <w:tcW w:w="1100" w:type="dxa"/>
            <w:tcBorders/>
            <w:vAlign w:val="center"/>
          </w:tcPr>
          <w:p>
            <w:pPr>
              <w:pStyle w:val="TableContents"/>
              <w:bidi w:val="0"/>
              <w:spacing w:before="0" w:after="283"/>
              <w:jc w:val="left"/>
              <w:rPr>
                <w:b/>
              </w:rPr>
            </w:pPr>
            <w:bookmarkStart w:id="9" w:name="toc553855_14"/>
            <w:bookmarkEnd w:id="9"/>
            <w:r>
              <w:rPr>
                <w:b/>
              </w:rPr>
              <w:t>ITEM 1A.</w:t>
            </w:r>
          </w:p>
        </w:tc>
        <w:tc>
          <w:tcPr>
            <w:tcW w:w="1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There have been no material changes from the risk factors as previously disclosed in our Annual Report on Form 10-K for the year ended December 31, 2022, filed with the SEC on March 27, 2023. </w:t>
      </w:r>
    </w:p>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920"/>
        <w:gridCol w:w="6905"/>
      </w:tblGrid>
      <w:tr>
        <w:trPr/>
        <w:tc>
          <w:tcPr>
            <w:tcW w:w="920" w:type="dxa"/>
            <w:tcBorders/>
            <w:vAlign w:val="center"/>
          </w:tcPr>
          <w:p>
            <w:pPr>
              <w:pStyle w:val="TableContents"/>
              <w:bidi w:val="0"/>
              <w:spacing w:before="0" w:after="283"/>
              <w:jc w:val="left"/>
              <w:rPr>
                <w:b/>
              </w:rPr>
            </w:pPr>
            <w:bookmarkStart w:id="10" w:name="toc553855_15"/>
            <w:bookmarkEnd w:id="10"/>
            <w:r>
              <w:rPr>
                <w:b/>
              </w:rPr>
              <w:t>ITEM 2.</w:t>
            </w:r>
          </w:p>
        </w:tc>
        <w:tc>
          <w:tcPr>
            <w:tcW w:w="6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summary of our Common Stock repurchased during the quarter ended September 30, 2023 is set forth in the following table: </w:t>
      </w:r>
    </w:p>
    <w:p>
      <w:pPr>
        <w:pStyle w:val="TextBody"/>
        <w:bidi w:val="0"/>
        <w:spacing w:before="0" w:after="0"/>
        <w:jc w:val="left"/>
        <w:rPr/>
      </w:pPr>
      <w:r>
        <w:rPr/>
        <w:t> </w:t>
      </w:r>
    </w:p>
    <w:tbl>
      <w:tblPr>
        <w:tblW w:w="9879" w:type="dxa"/>
        <w:jc w:val="left"/>
        <w:tblInd w:w="0" w:type="dxa"/>
        <w:tblLayout w:type="fixed"/>
        <w:tblCellMar>
          <w:top w:w="0" w:type="dxa"/>
          <w:left w:w="0" w:type="dxa"/>
          <w:bottom w:w="0" w:type="dxa"/>
          <w:right w:w="0" w:type="dxa"/>
        </w:tblCellMar>
      </w:tblPr>
      <w:tblGrid>
        <w:gridCol w:w="3455"/>
        <w:gridCol w:w="120"/>
        <w:gridCol w:w="268"/>
        <w:gridCol w:w="1161"/>
        <w:gridCol w:w="60"/>
        <w:gridCol w:w="120"/>
        <w:gridCol w:w="255"/>
        <w:gridCol w:w="695"/>
        <w:gridCol w:w="60"/>
        <w:gridCol w:w="120"/>
        <w:gridCol w:w="219"/>
        <w:gridCol w:w="1391"/>
        <w:gridCol w:w="60"/>
        <w:gridCol w:w="120"/>
        <w:gridCol w:w="118"/>
        <w:gridCol w:w="1582"/>
        <w:gridCol w:w="75"/>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12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Number of</w:t>
            </w:r>
            <w:r>
              <w:rPr/>
              <w:br/>
            </w:r>
            <w:r>
              <w:rPr>
                <w:b/>
              </w:rPr>
              <w:t>Shares</w:t>
            </w:r>
            <w:r>
              <w:rPr/>
              <w:br/>
            </w:r>
            <w:r>
              <w:rPr>
                <w:b/>
              </w:rPr>
              <w:t>Purchased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r>
            <w:r>
              <w:rPr/>
              <w:br/>
            </w:r>
            <w:r>
              <w:rPr>
                <w:b/>
              </w:rPr>
              <w:t>Price per</w:t>
            </w:r>
            <w:r>
              <w:rPr/>
              <w:br/>
            </w:r>
            <w:r>
              <w:rPr>
                <w:b/>
              </w:rPr>
              <w:t>Share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b/>
              </w:rPr>
              <w:t>Total Number</w:t>
            </w:r>
            <w:r>
              <w:rPr/>
              <w:br/>
            </w:r>
            <w:r>
              <w:rPr>
                <w:b/>
              </w:rPr>
              <w:t>of Shares</w:t>
            </w:r>
            <w:r>
              <w:rPr/>
              <w:br/>
            </w:r>
            <w:r>
              <w:rPr>
                <w:b/>
              </w:rPr>
              <w:t>Purchased as</w:t>
            </w:r>
            <w:r>
              <w:rPr/>
              <w:br/>
            </w:r>
            <w:r>
              <w:rPr>
                <w:b/>
              </w:rPr>
              <w:t>Part of Publicly</w:t>
            </w:r>
            <w:r>
              <w:rPr/>
              <w:br/>
            </w:r>
            <w:r>
              <w:rPr>
                <w:b/>
              </w:rPr>
              <w:t>Announced</w:t>
            </w:r>
            <w:r>
              <w:rPr/>
              <w:br/>
            </w:r>
            <w:r>
              <w:rPr>
                <w:b/>
              </w:rPr>
              <w:t>Plans or</w:t>
            </w:r>
            <w:r>
              <w:rPr/>
              <w:br/>
            </w:r>
            <w:r>
              <w:rPr>
                <w:b/>
              </w:rPr>
              <w:t>Programs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pPr>
            <w:r>
              <w:rPr>
                <w:b/>
              </w:rPr>
              <w:t>Maximum</w:t>
            </w:r>
            <w:r>
              <w:rPr/>
              <w:br/>
            </w:r>
            <w:r>
              <w:rPr>
                <w:b/>
              </w:rPr>
              <w:t>Number of</w:t>
            </w:r>
            <w:r>
              <w:rPr/>
              <w:br/>
            </w:r>
            <w:r>
              <w:rPr>
                <w:b/>
              </w:rPr>
              <w:t>Shares that May</w:t>
            </w:r>
            <w:r>
              <w:rPr/>
              <w:br/>
            </w:r>
            <w:r>
              <w:rPr>
                <w:b/>
              </w:rPr>
              <w:t>Yet Be</w:t>
            </w:r>
            <w:r>
              <w:rPr/>
              <w:br/>
            </w:r>
            <w:r>
              <w:rPr>
                <w:b/>
              </w:rPr>
              <w:t>Purchased</w:t>
            </w:r>
            <w:r>
              <w:rPr/>
              <w:br/>
            </w:r>
            <w:r>
              <w:rPr>
                <w:b/>
              </w:rPr>
              <w:t>Under this Plan</w:t>
            </w:r>
            <w:r>
              <w:rPr/>
              <w:br/>
            </w:r>
            <w:r>
              <w:rPr>
                <w:b/>
              </w:rPr>
              <w:t>or Programs (1)</w:t>
            </w:r>
          </w:p>
        </w:tc>
        <w:tc>
          <w:tcPr>
            <w:tcW w:w="75"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1, 2023 — July 31, 2023</w:t>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437,639</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1, 2023 — August 31, 2023</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437,639</w:t>
            </w:r>
          </w:p>
        </w:tc>
        <w:tc>
          <w:tcPr>
            <w:tcW w:w="75"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1, 2023 — September 30, 2023</w:t>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437,639</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pBdr>
                <w:top w:val="single" w:sz="2" w:space="1" w:color="000000"/>
              </w:pBdr>
              <w:bidi w:val="0"/>
              <w:spacing w:before="0" w:after="0"/>
              <w:jc w:val="left"/>
              <w:rPr/>
            </w:pPr>
            <w:r>
              <w:rPr/>
              <w:t> </w:t>
            </w:r>
          </w:p>
        </w:tc>
        <w:tc>
          <w:tcPr>
            <w:tcW w:w="116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69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pBdr>
                <w:top w:val="single" w:sz="2" w:space="1" w:color="000000"/>
              </w:pBdr>
              <w:bidi w:val="0"/>
              <w:spacing w:before="0" w:after="0"/>
              <w:jc w:val="left"/>
              <w:rPr/>
            </w:pPr>
            <w:r>
              <w:rPr/>
              <w:t> </w:t>
            </w:r>
          </w:p>
        </w:tc>
        <w:tc>
          <w:tcPr>
            <w:tcW w:w="13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pBdr>
                <w:top w:val="single" w:sz="2" w:space="1" w:color="000000"/>
              </w:pBdr>
              <w:bidi w:val="0"/>
              <w:spacing w:before="0" w:after="0"/>
              <w:jc w:val="left"/>
              <w:rPr/>
            </w:pPr>
            <w:r>
              <w:rPr/>
              <w:t> </w:t>
            </w:r>
          </w:p>
        </w:tc>
        <w:tc>
          <w:tcPr>
            <w:tcW w:w="158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437,639</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February 8, 2023, the Company announced that the Board of Directors authorized a share repurchase program of up to 500,000 shares of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The Company did not repurchase any shares of its Common Stock during the quarter ended September 30,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945" w:type="dxa"/>
        <w:jc w:val="left"/>
        <w:tblInd w:w="0" w:type="dxa"/>
        <w:tblLayout w:type="fixed"/>
        <w:tblCellMar>
          <w:top w:w="0" w:type="dxa"/>
          <w:left w:w="0" w:type="dxa"/>
          <w:bottom w:w="0" w:type="dxa"/>
          <w:right w:w="0" w:type="dxa"/>
        </w:tblCellMar>
      </w:tblPr>
      <w:tblGrid>
        <w:gridCol w:w="920"/>
        <w:gridCol w:w="1025"/>
      </w:tblGrid>
      <w:tr>
        <w:trPr/>
        <w:tc>
          <w:tcPr>
            <w:tcW w:w="920" w:type="dxa"/>
            <w:tcBorders/>
            <w:vAlign w:val="center"/>
          </w:tcPr>
          <w:p>
            <w:pPr>
              <w:pStyle w:val="TableContents"/>
              <w:bidi w:val="0"/>
              <w:spacing w:before="0" w:after="283"/>
              <w:jc w:val="left"/>
              <w:rPr>
                <w:b/>
              </w:rPr>
            </w:pPr>
            <w:bookmarkStart w:id="11" w:name="toc553855_16"/>
            <w:bookmarkEnd w:id="11"/>
            <w:r>
              <w:rPr>
                <w:b/>
              </w:rPr>
              <w:t>ITEM 6.</w:t>
            </w:r>
          </w:p>
        </w:tc>
        <w:tc>
          <w:tcPr>
            <w:tcW w:w="1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8"/>
        <w:gridCol w:w="120"/>
        <w:gridCol w:w="9317"/>
      </w:tblGrid>
      <w:tr>
        <w:trPr/>
        <w:tc>
          <w:tcPr>
            <w:tcW w:w="7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17" w:type="dxa"/>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  </w:t>
            </w:r>
            <w:r>
              <w:rPr/>
              <w:t>31.1</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hyperlink w:anchor="d553855dex311.htm">
              <w:r>
                <w:rPr>
                  <w:rStyle w:val="InternetLink"/>
                </w:rPr>
                <w:t xml:space="preserve">Certification pursuant to Section 302 of the Sarbanes-Oxley Act of 2002 by the Chief Executive Officer is filed herewith. </w:t>
              </w:r>
            </w:hyperlink>
          </w:p>
        </w:tc>
      </w:tr>
      <w:tr>
        <w:trPr/>
        <w:tc>
          <w:tcPr>
            <w:tcW w:w="768" w:type="dxa"/>
            <w:tcBorders/>
            <w:vAlign w:val="center"/>
          </w:tcPr>
          <w:p>
            <w:pPr>
              <w:pStyle w:val="TableContents"/>
              <w:bidi w:val="0"/>
              <w:spacing w:before="0" w:after="283"/>
              <w:jc w:val="left"/>
              <w:rPr>
                <w:sz w:val="4"/>
                <w:szCs w:val="4"/>
              </w:rPr>
            </w:pPr>
            <w:r>
              <w:rPr>
                <w:sz w:val="4"/>
                <w:szCs w:val="4"/>
              </w:rPr>
            </w:r>
          </w:p>
        </w:tc>
        <w:tc>
          <w:tcPr>
            <w:tcW w:w="9437"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  </w:t>
            </w:r>
            <w:r>
              <w:rPr/>
              <w:t>31.2</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hyperlink w:anchor="d553855dex312.htm">
              <w:r>
                <w:rPr>
                  <w:rStyle w:val="InternetLink"/>
                </w:rPr>
                <w:t xml:space="preserve">Certification pursuant to Section 302 of the Sarbanes-Oxley Act of 2002 by the Chief Financial Officer is filed herewith. </w:t>
              </w:r>
            </w:hyperlink>
          </w:p>
        </w:tc>
      </w:tr>
      <w:tr>
        <w:trPr/>
        <w:tc>
          <w:tcPr>
            <w:tcW w:w="768" w:type="dxa"/>
            <w:tcBorders/>
            <w:vAlign w:val="center"/>
          </w:tcPr>
          <w:p>
            <w:pPr>
              <w:pStyle w:val="TableContents"/>
              <w:bidi w:val="0"/>
              <w:spacing w:before="0" w:after="283"/>
              <w:jc w:val="left"/>
              <w:rPr>
                <w:sz w:val="4"/>
                <w:szCs w:val="4"/>
              </w:rPr>
            </w:pPr>
            <w:r>
              <w:rPr>
                <w:sz w:val="4"/>
                <w:szCs w:val="4"/>
              </w:rPr>
            </w:r>
          </w:p>
        </w:tc>
        <w:tc>
          <w:tcPr>
            <w:tcW w:w="9437"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  </w:t>
            </w:r>
            <w:r>
              <w:rPr/>
              <w:t>32.1</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hyperlink w:anchor="d553855dex321.htm">
              <w:r>
                <w:rPr>
                  <w:rStyle w:val="InternetLink"/>
                </w:rPr>
                <w:t xml:space="preserve">Certification pursuant to 18 U.S.C. Section 1350, as adopted pursuant to Section 906 of the Sarbanes-Oxley Act of 2002, by the Chief Executive Officer is furnished herewith. </w:t>
              </w:r>
            </w:hyperlink>
          </w:p>
        </w:tc>
      </w:tr>
      <w:tr>
        <w:trPr/>
        <w:tc>
          <w:tcPr>
            <w:tcW w:w="768" w:type="dxa"/>
            <w:tcBorders/>
            <w:vAlign w:val="center"/>
          </w:tcPr>
          <w:p>
            <w:pPr>
              <w:pStyle w:val="TableContents"/>
              <w:bidi w:val="0"/>
              <w:spacing w:before="0" w:after="283"/>
              <w:jc w:val="left"/>
              <w:rPr>
                <w:sz w:val="4"/>
                <w:szCs w:val="4"/>
              </w:rPr>
            </w:pPr>
            <w:r>
              <w:rPr>
                <w:sz w:val="4"/>
                <w:szCs w:val="4"/>
              </w:rPr>
            </w:r>
          </w:p>
        </w:tc>
        <w:tc>
          <w:tcPr>
            <w:tcW w:w="9437"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  </w:t>
            </w:r>
            <w:r>
              <w:rPr/>
              <w:t>32.2</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hyperlink w:anchor="d553855dex322.htm">
              <w:r>
                <w:rPr>
                  <w:rStyle w:val="InternetLink"/>
                </w:rPr>
                <w:t xml:space="preserve">Certification pursuant to 18 U.S.C. Section 1350, as adopted pursuant to Section 906 of the Sarbanes-Oxley Act of 2002, by the Chief Financial Officer is furnished herewith. </w:t>
              </w:r>
            </w:hyperlink>
          </w:p>
        </w:tc>
      </w:tr>
      <w:tr>
        <w:trPr/>
        <w:tc>
          <w:tcPr>
            <w:tcW w:w="768" w:type="dxa"/>
            <w:tcBorders/>
            <w:vAlign w:val="center"/>
          </w:tcPr>
          <w:p>
            <w:pPr>
              <w:pStyle w:val="TableContents"/>
              <w:bidi w:val="0"/>
              <w:spacing w:before="0" w:after="283"/>
              <w:jc w:val="left"/>
              <w:rPr>
                <w:sz w:val="4"/>
                <w:szCs w:val="4"/>
              </w:rPr>
            </w:pPr>
            <w:r>
              <w:rPr>
                <w:sz w:val="4"/>
                <w:szCs w:val="4"/>
              </w:rPr>
            </w:r>
          </w:p>
        </w:tc>
        <w:tc>
          <w:tcPr>
            <w:tcW w:w="9437"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r>
              <w:rPr/>
              <w:t>XBRL Instance Document.</w:t>
            </w:r>
          </w:p>
        </w:tc>
      </w:tr>
      <w:tr>
        <w:trPr/>
        <w:tc>
          <w:tcPr>
            <w:tcW w:w="768" w:type="dxa"/>
            <w:tcBorders/>
            <w:vAlign w:val="center"/>
          </w:tcPr>
          <w:p>
            <w:pPr>
              <w:pStyle w:val="TableContents"/>
              <w:bidi w:val="0"/>
              <w:spacing w:before="0" w:after="283"/>
              <w:jc w:val="left"/>
              <w:rPr>
                <w:sz w:val="4"/>
                <w:szCs w:val="4"/>
              </w:rPr>
            </w:pPr>
            <w:r>
              <w:rPr>
                <w:sz w:val="4"/>
                <w:szCs w:val="4"/>
              </w:rPr>
            </w:r>
          </w:p>
        </w:tc>
        <w:tc>
          <w:tcPr>
            <w:tcW w:w="9437"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r>
              <w:rPr/>
              <w:t>XBRL Taxonomy Extension Schema Document.</w:t>
            </w:r>
          </w:p>
        </w:tc>
      </w:tr>
      <w:tr>
        <w:trPr/>
        <w:tc>
          <w:tcPr>
            <w:tcW w:w="768" w:type="dxa"/>
            <w:tcBorders/>
            <w:vAlign w:val="center"/>
          </w:tcPr>
          <w:p>
            <w:pPr>
              <w:pStyle w:val="TableContents"/>
              <w:bidi w:val="0"/>
              <w:spacing w:before="0" w:after="283"/>
              <w:jc w:val="left"/>
              <w:rPr>
                <w:sz w:val="4"/>
                <w:szCs w:val="4"/>
              </w:rPr>
            </w:pPr>
            <w:r>
              <w:rPr>
                <w:sz w:val="4"/>
                <w:szCs w:val="4"/>
              </w:rPr>
            </w:r>
          </w:p>
        </w:tc>
        <w:tc>
          <w:tcPr>
            <w:tcW w:w="9437"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r>
              <w:rPr/>
              <w:t>XBRL Taxonomy Extension Calculation Linkbase Document.</w:t>
            </w:r>
          </w:p>
        </w:tc>
      </w:tr>
      <w:tr>
        <w:trPr/>
        <w:tc>
          <w:tcPr>
            <w:tcW w:w="768" w:type="dxa"/>
            <w:tcBorders/>
            <w:vAlign w:val="center"/>
          </w:tcPr>
          <w:p>
            <w:pPr>
              <w:pStyle w:val="TableContents"/>
              <w:bidi w:val="0"/>
              <w:spacing w:before="0" w:after="283"/>
              <w:jc w:val="left"/>
              <w:rPr>
                <w:sz w:val="4"/>
                <w:szCs w:val="4"/>
              </w:rPr>
            </w:pPr>
            <w:r>
              <w:rPr>
                <w:sz w:val="4"/>
                <w:szCs w:val="4"/>
              </w:rPr>
            </w:r>
          </w:p>
        </w:tc>
        <w:tc>
          <w:tcPr>
            <w:tcW w:w="9437"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r>
              <w:rPr/>
              <w:t>XBRL Taxonomy Extension Definition Linkbase Document.</w:t>
            </w:r>
          </w:p>
        </w:tc>
      </w:tr>
      <w:tr>
        <w:trPr/>
        <w:tc>
          <w:tcPr>
            <w:tcW w:w="768" w:type="dxa"/>
            <w:tcBorders/>
            <w:vAlign w:val="center"/>
          </w:tcPr>
          <w:p>
            <w:pPr>
              <w:pStyle w:val="TableContents"/>
              <w:bidi w:val="0"/>
              <w:spacing w:before="0" w:after="283"/>
              <w:jc w:val="left"/>
              <w:rPr>
                <w:sz w:val="4"/>
                <w:szCs w:val="4"/>
              </w:rPr>
            </w:pPr>
            <w:r>
              <w:rPr>
                <w:sz w:val="4"/>
                <w:szCs w:val="4"/>
              </w:rPr>
            </w:r>
          </w:p>
        </w:tc>
        <w:tc>
          <w:tcPr>
            <w:tcW w:w="9437"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r>
              <w:rPr/>
              <w:t>XBRL Taxonomy Extension Label Linkbase Document.</w:t>
            </w:r>
          </w:p>
        </w:tc>
      </w:tr>
      <w:tr>
        <w:trPr/>
        <w:tc>
          <w:tcPr>
            <w:tcW w:w="768" w:type="dxa"/>
            <w:tcBorders/>
            <w:vAlign w:val="center"/>
          </w:tcPr>
          <w:p>
            <w:pPr>
              <w:pStyle w:val="TableContents"/>
              <w:bidi w:val="0"/>
              <w:spacing w:before="0" w:after="283"/>
              <w:jc w:val="left"/>
              <w:rPr>
                <w:sz w:val="4"/>
                <w:szCs w:val="4"/>
              </w:rPr>
            </w:pPr>
            <w:r>
              <w:rPr>
                <w:sz w:val="4"/>
                <w:szCs w:val="4"/>
              </w:rPr>
            </w:r>
          </w:p>
        </w:tc>
        <w:tc>
          <w:tcPr>
            <w:tcW w:w="9437"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r>
              <w:rPr/>
              <w:t>XBRL Taxonomy Extension Presentation Linkbase Document.</w:t>
            </w:r>
          </w:p>
        </w:tc>
      </w:tr>
      <w:tr>
        <w:trPr/>
        <w:tc>
          <w:tcPr>
            <w:tcW w:w="768" w:type="dxa"/>
            <w:tcBorders/>
            <w:vAlign w:val="center"/>
          </w:tcPr>
          <w:p>
            <w:pPr>
              <w:pStyle w:val="TableContents"/>
              <w:bidi w:val="0"/>
              <w:spacing w:before="0" w:after="283"/>
              <w:jc w:val="left"/>
              <w:rPr>
                <w:sz w:val="4"/>
                <w:szCs w:val="4"/>
              </w:rPr>
            </w:pPr>
            <w:r>
              <w:rPr>
                <w:sz w:val="4"/>
                <w:szCs w:val="4"/>
              </w:rPr>
            </w:r>
          </w:p>
        </w:tc>
        <w:tc>
          <w:tcPr>
            <w:tcW w:w="9437" w:type="dxa"/>
            <w:gridSpan w:val="2"/>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17"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553855_17"/>
      <w:bookmarkEnd w:id="1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on this 10th day of November, 2023. </w:t>
      </w:r>
    </w:p>
    <w:p>
      <w:pPr>
        <w:pStyle w:val="TextBody"/>
        <w:bidi w:val="0"/>
        <w:spacing w:before="0" w:after="0"/>
        <w:jc w:val="left"/>
        <w:rPr/>
      </w:pPr>
      <w:r>
        <w:rPr/>
        <w:t> </w:t>
      </w:r>
    </w:p>
    <w:tbl>
      <w:tblPr>
        <w:tblW w:w="4968" w:type="dxa"/>
        <w:jc w:val="left"/>
        <w:tblInd w:w="0" w:type="dxa"/>
        <w:tblLayout w:type="fixed"/>
        <w:tblCellMar>
          <w:top w:w="0" w:type="dxa"/>
          <w:left w:w="0" w:type="dxa"/>
          <w:bottom w:w="0" w:type="dxa"/>
          <w:right w:w="0" w:type="dxa"/>
        </w:tblCellMar>
      </w:tblPr>
      <w:tblGrid>
        <w:gridCol w:w="1940"/>
        <w:gridCol w:w="60"/>
        <w:gridCol w:w="23"/>
        <w:gridCol w:w="60"/>
        <w:gridCol w:w="288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MASTECH DIGITAL,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4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November 13,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VIVEK GUPTA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Vivek Gupta</w:t>
            </w:r>
          </w:p>
          <w:p>
            <w:pPr>
              <w:pStyle w:val="TableContents"/>
              <w:bidi w:val="0"/>
              <w:spacing w:before="0" w:after="20"/>
              <w:jc w:val="center"/>
              <w:rPr>
                <w:rFonts w:ascii="Times New Roman" w:hAnsi="Times New Roman"/>
                <w:b/>
                <w:sz w:val="20"/>
              </w:rPr>
            </w:pPr>
            <w:r>
              <w:rPr>
                <w:rFonts w:ascii="Times New Roman" w:hAnsi="Times New Roman"/>
                <w:b/>
                <w:sz w:val="20"/>
              </w:rPr>
              <w:t>Chief Executive Officer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4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JOHN J. CRONIN, JR.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b/>
              </w:rPr>
            </w:pPr>
            <w:r>
              <w:rPr>
                <w:b/>
              </w:rPr>
              <w:t>John J. Cronin, Jr.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b/>
              </w:rPr>
            </w:pPr>
            <w:r>
              <w:rPr>
                <w:b/>
              </w:rPr>
              <w:t>Chief Financial Officer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b/>
              </w:rPr>
            </w:pPr>
            <w:r>
              <w:rPr>
                <w:b/>
              </w:rPr>
              <w:t>(Principal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TextBody"/>
        <w:bidi w:val="0"/>
        <w:spacing w:before="0" w:after="0"/>
        <w:jc w:val="right"/>
        <w:rPr>
          <w:rFonts w:ascii="Times New Roman" w:hAnsi="Times New Roman"/>
          <w:b/>
          <w:sz w:val="20"/>
        </w:rPr>
      </w:pPr>
      <w:bookmarkStart w:id="13" w:name="d553855dex311.htm"/>
      <w:bookmarkStart w:id="14" w:name="ksd553855dex311"/>
      <w:bookmarkEnd w:id="13"/>
      <w:bookmarkEnd w:id="14"/>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Section 302 of the Sarbanes-Oxley Act of 2002 by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 Vivek Gupta,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report on Form 10-Q of Mastech Digital,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91"/>
        <w:gridCol w:w="107"/>
        <w:gridCol w:w="376"/>
        <w:gridCol w:w="107"/>
        <w:gridCol w:w="244"/>
        <w:gridCol w:w="107"/>
        <w:gridCol w:w="4873"/>
      </w:tblGrid>
      <w:tr>
        <w:trPr/>
        <w:tc>
          <w:tcPr>
            <w:tcW w:w="439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873" w:type="dxa"/>
            <w:tcBorders/>
            <w:vAlign w:val="center"/>
          </w:tcPr>
          <w:p>
            <w:pPr>
              <w:pStyle w:val="TableContents"/>
              <w:bidi w:val="0"/>
              <w:spacing w:before="0" w:after="283"/>
              <w:jc w:val="left"/>
              <w:rPr>
                <w:sz w:val="4"/>
                <w:szCs w:val="4"/>
              </w:rPr>
            </w:pPr>
            <w:r>
              <w:rPr>
                <w:sz w:val="4"/>
                <w:szCs w:val="4"/>
              </w:rPr>
            </w:r>
          </w:p>
        </w:tc>
      </w:tr>
      <w:tr>
        <w:trPr/>
        <w:tc>
          <w:tcPr>
            <w:tcW w:w="4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pPr>
            <w:r>
              <w:rPr/>
              <w:t>MASTECH DIGITAL, INC.</w:t>
            </w:r>
          </w:p>
        </w:tc>
      </w:tr>
      <w:tr>
        <w:trPr>
          <w:trHeight w:val="240" w:hRule="atLeast"/>
        </w:trPr>
        <w:tc>
          <w:tcPr>
            <w:tcW w:w="4391" w:type="dxa"/>
            <w:tcBorders/>
            <w:vAlign w:val="center"/>
          </w:tcPr>
          <w:p>
            <w:pPr>
              <w:pStyle w:val="TableContents"/>
              <w:bidi w:val="0"/>
              <w:spacing w:before="0" w:after="283"/>
              <w:jc w:val="left"/>
              <w:rPr>
                <w:sz w:val="4"/>
                <w:szCs w:val="4"/>
              </w:rPr>
            </w:pPr>
            <w:r>
              <w:rPr>
                <w:sz w:val="4"/>
                <w:szCs w:val="4"/>
              </w:rPr>
            </w:r>
          </w:p>
        </w:tc>
        <w:tc>
          <w:tcPr>
            <w:tcW w:w="483" w:type="dxa"/>
            <w:gridSpan w:val="2"/>
            <w:tcBorders/>
            <w:vAlign w:val="center"/>
          </w:tcPr>
          <w:p>
            <w:pPr>
              <w:pStyle w:val="TableContents"/>
              <w:bidi w:val="0"/>
              <w:spacing w:before="0" w:after="283"/>
              <w:jc w:val="left"/>
              <w:rPr>
                <w:sz w:val="4"/>
                <w:szCs w:val="4"/>
              </w:rPr>
            </w:pPr>
            <w:r>
              <w:rPr>
                <w:sz w:val="4"/>
                <w:szCs w:val="4"/>
              </w:rPr>
            </w:r>
          </w:p>
        </w:tc>
        <w:tc>
          <w:tcPr>
            <w:tcW w:w="351" w:type="dxa"/>
            <w:gridSpan w:val="2"/>
            <w:tcBorders/>
            <w:vAlign w:val="center"/>
          </w:tcPr>
          <w:p>
            <w:pPr>
              <w:pStyle w:val="TableContents"/>
              <w:bidi w:val="0"/>
              <w:spacing w:before="0" w:after="283"/>
              <w:jc w:val="left"/>
              <w:rPr>
                <w:sz w:val="4"/>
                <w:szCs w:val="4"/>
              </w:rPr>
            </w:pPr>
            <w:r>
              <w:rPr>
                <w:sz w:val="4"/>
                <w:szCs w:val="4"/>
              </w:rPr>
            </w:r>
          </w:p>
        </w:tc>
        <w:tc>
          <w:tcPr>
            <w:tcW w:w="4980" w:type="dxa"/>
            <w:gridSpan w:val="2"/>
            <w:tcBorders/>
            <w:vAlign w:val="center"/>
          </w:tcPr>
          <w:p>
            <w:pPr>
              <w:pStyle w:val="TableContents"/>
              <w:bidi w:val="0"/>
              <w:spacing w:before="0" w:after="283"/>
              <w:jc w:val="left"/>
              <w:rPr>
                <w:sz w:val="4"/>
                <w:szCs w:val="4"/>
              </w:rPr>
            </w:pPr>
            <w:r>
              <w:rPr>
                <w:sz w:val="4"/>
                <w:szCs w:val="4"/>
              </w:rPr>
            </w:r>
          </w:p>
        </w:tc>
      </w:tr>
      <w:tr>
        <w:trPr/>
        <w:tc>
          <w:tcPr>
            <w:tcW w:w="4391" w:type="dxa"/>
            <w:tcBorders/>
          </w:tcPr>
          <w:p>
            <w:pPr>
              <w:pStyle w:val="TableContents"/>
              <w:bidi w:val="0"/>
              <w:spacing w:before="0" w:after="283"/>
              <w:jc w:val="left"/>
              <w:rPr/>
            </w:pPr>
            <w:r>
              <w:rPr/>
              <w:t>Date: November 13, 2023</w:t>
            </w:r>
          </w:p>
        </w:tc>
        <w:tc>
          <w:tcPr>
            <w:tcW w:w="107" w:type="dxa"/>
            <w:tcBorders/>
            <w:vAlign w:val="bottom"/>
          </w:tcPr>
          <w:p>
            <w:pPr>
              <w:pStyle w:val="TableContents"/>
              <w:bidi w:val="0"/>
              <w:spacing w:before="0" w:after="283"/>
              <w:jc w:val="left"/>
              <w:rPr/>
            </w:pPr>
            <w:r>
              <w:rPr/>
              <w:t> </w:t>
            </w:r>
          </w:p>
        </w:tc>
        <w:tc>
          <w:tcPr>
            <w:tcW w:w="37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VIVEK GUPTA</w:t>
            </w:r>
          </w:p>
        </w:tc>
      </w:tr>
      <w:tr>
        <w:trPr/>
        <w:tc>
          <w:tcPr>
            <w:tcW w:w="4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b/>
              </w:rPr>
            </w:pPr>
            <w:r>
              <w:rPr>
                <w:b/>
              </w:rPr>
              <w:t>Vivek Gupta</w:t>
            </w:r>
          </w:p>
        </w:tc>
      </w:tr>
      <w:tr>
        <w:trPr/>
        <w:tc>
          <w:tcPr>
            <w:tcW w:w="4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b/>
              </w:rPr>
            </w:pPr>
            <w:r>
              <w:rPr>
                <w:b/>
              </w:rPr>
              <w:t>Chief Executive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15" w:name="d553855dex312.htm"/>
      <w:bookmarkStart w:id="16" w:name="ksd553855dex312"/>
      <w:bookmarkEnd w:id="15"/>
      <w:bookmarkEnd w:id="16"/>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Section 302 of the Sarbanes-Oxley Act of 2002 by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I, John J. Cronin, Jr.,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report on Form 10-Q of Mastech Digital,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91"/>
        <w:gridCol w:w="107"/>
        <w:gridCol w:w="376"/>
        <w:gridCol w:w="107"/>
        <w:gridCol w:w="244"/>
        <w:gridCol w:w="107"/>
        <w:gridCol w:w="4873"/>
      </w:tblGrid>
      <w:tr>
        <w:trPr/>
        <w:tc>
          <w:tcPr>
            <w:tcW w:w="439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873" w:type="dxa"/>
            <w:tcBorders/>
            <w:vAlign w:val="center"/>
          </w:tcPr>
          <w:p>
            <w:pPr>
              <w:pStyle w:val="TableContents"/>
              <w:bidi w:val="0"/>
              <w:spacing w:before="0" w:after="283"/>
              <w:jc w:val="left"/>
              <w:rPr>
                <w:sz w:val="4"/>
                <w:szCs w:val="4"/>
              </w:rPr>
            </w:pPr>
            <w:r>
              <w:rPr>
                <w:sz w:val="4"/>
                <w:szCs w:val="4"/>
              </w:rPr>
            </w:r>
          </w:p>
        </w:tc>
      </w:tr>
      <w:tr>
        <w:trPr/>
        <w:tc>
          <w:tcPr>
            <w:tcW w:w="4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pPr>
            <w:r>
              <w:rPr/>
              <w:t>MASTECH DIGITAL, INC.</w:t>
            </w:r>
          </w:p>
        </w:tc>
      </w:tr>
      <w:tr>
        <w:trPr>
          <w:trHeight w:val="240" w:hRule="atLeast"/>
        </w:trPr>
        <w:tc>
          <w:tcPr>
            <w:tcW w:w="4391" w:type="dxa"/>
            <w:tcBorders/>
            <w:vAlign w:val="center"/>
          </w:tcPr>
          <w:p>
            <w:pPr>
              <w:pStyle w:val="TableContents"/>
              <w:bidi w:val="0"/>
              <w:spacing w:before="0" w:after="283"/>
              <w:jc w:val="left"/>
              <w:rPr>
                <w:sz w:val="4"/>
                <w:szCs w:val="4"/>
              </w:rPr>
            </w:pPr>
            <w:r>
              <w:rPr>
                <w:sz w:val="4"/>
                <w:szCs w:val="4"/>
              </w:rPr>
            </w:r>
          </w:p>
        </w:tc>
        <w:tc>
          <w:tcPr>
            <w:tcW w:w="483" w:type="dxa"/>
            <w:gridSpan w:val="2"/>
            <w:tcBorders/>
            <w:vAlign w:val="center"/>
          </w:tcPr>
          <w:p>
            <w:pPr>
              <w:pStyle w:val="TableContents"/>
              <w:bidi w:val="0"/>
              <w:spacing w:before="0" w:after="283"/>
              <w:jc w:val="left"/>
              <w:rPr>
                <w:sz w:val="4"/>
                <w:szCs w:val="4"/>
              </w:rPr>
            </w:pPr>
            <w:r>
              <w:rPr>
                <w:sz w:val="4"/>
                <w:szCs w:val="4"/>
              </w:rPr>
            </w:r>
          </w:p>
        </w:tc>
        <w:tc>
          <w:tcPr>
            <w:tcW w:w="351" w:type="dxa"/>
            <w:gridSpan w:val="2"/>
            <w:tcBorders/>
            <w:vAlign w:val="center"/>
          </w:tcPr>
          <w:p>
            <w:pPr>
              <w:pStyle w:val="TableContents"/>
              <w:bidi w:val="0"/>
              <w:spacing w:before="0" w:after="283"/>
              <w:jc w:val="left"/>
              <w:rPr>
                <w:sz w:val="4"/>
                <w:szCs w:val="4"/>
              </w:rPr>
            </w:pPr>
            <w:r>
              <w:rPr>
                <w:sz w:val="4"/>
                <w:szCs w:val="4"/>
              </w:rPr>
            </w:r>
          </w:p>
        </w:tc>
        <w:tc>
          <w:tcPr>
            <w:tcW w:w="4980" w:type="dxa"/>
            <w:gridSpan w:val="2"/>
            <w:tcBorders/>
            <w:vAlign w:val="center"/>
          </w:tcPr>
          <w:p>
            <w:pPr>
              <w:pStyle w:val="TableContents"/>
              <w:bidi w:val="0"/>
              <w:spacing w:before="0" w:after="283"/>
              <w:jc w:val="left"/>
              <w:rPr>
                <w:sz w:val="4"/>
                <w:szCs w:val="4"/>
              </w:rPr>
            </w:pPr>
            <w:r>
              <w:rPr>
                <w:sz w:val="4"/>
                <w:szCs w:val="4"/>
              </w:rPr>
            </w:r>
          </w:p>
        </w:tc>
      </w:tr>
      <w:tr>
        <w:trPr/>
        <w:tc>
          <w:tcPr>
            <w:tcW w:w="4391" w:type="dxa"/>
            <w:tcBorders/>
          </w:tcPr>
          <w:p>
            <w:pPr>
              <w:pStyle w:val="TableContents"/>
              <w:bidi w:val="0"/>
              <w:spacing w:before="0" w:after="283"/>
              <w:jc w:val="left"/>
              <w:rPr/>
            </w:pPr>
            <w:r>
              <w:rPr/>
              <w:t>Date: November 13, 2023</w:t>
            </w:r>
          </w:p>
        </w:tc>
        <w:tc>
          <w:tcPr>
            <w:tcW w:w="107" w:type="dxa"/>
            <w:tcBorders/>
            <w:vAlign w:val="bottom"/>
          </w:tcPr>
          <w:p>
            <w:pPr>
              <w:pStyle w:val="TableContents"/>
              <w:bidi w:val="0"/>
              <w:spacing w:before="0" w:after="283"/>
              <w:jc w:val="left"/>
              <w:rPr/>
            </w:pPr>
            <w:r>
              <w:rPr/>
              <w:t> </w:t>
            </w:r>
          </w:p>
        </w:tc>
        <w:tc>
          <w:tcPr>
            <w:tcW w:w="37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J. CRONIN, JR.</w:t>
            </w:r>
          </w:p>
        </w:tc>
      </w:tr>
      <w:tr>
        <w:trPr/>
        <w:tc>
          <w:tcPr>
            <w:tcW w:w="4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b/>
              </w:rPr>
            </w:pPr>
            <w:r>
              <w:rPr>
                <w:b/>
              </w:rPr>
              <w:t>John J. Cronin, Jr.</w:t>
            </w:r>
          </w:p>
        </w:tc>
      </w:tr>
      <w:tr>
        <w:trPr/>
        <w:tc>
          <w:tcPr>
            <w:tcW w:w="4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b/>
              </w:rPr>
            </w:pPr>
            <w:r>
              <w:rPr>
                <w:b/>
              </w:rPr>
              <w:t>Chief Financial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17" w:name="d553855dex321.htm"/>
      <w:bookmarkStart w:id="18" w:name="ksd553855dex321"/>
      <w:bookmarkEnd w:id="17"/>
      <w:bookmarkEnd w:id="18"/>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of Mastech Digital, Inc. (the Company) on Form 10-Q for the quarter ended September 30, 2023, as filed with the Securities and Exchange Commission on the date hereof (the Report), I, Vivek Gupta, Chief Executive Officer of the Company, certify, pursuant to 18 U.S.C. § 1350, as adopted pursuant to § 906 of the Sarbanes-Oxley Act of 2002, that, to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VIVEK GUPTA</w:t>
            </w:r>
          </w:p>
        </w:tc>
      </w:tr>
      <w:tr>
        <w:trPr/>
        <w:tc>
          <w:tcPr>
            <w:tcW w:w="4082" w:type="dxa"/>
            <w:tcBorders/>
          </w:tcPr>
          <w:p>
            <w:pPr>
              <w:pStyle w:val="TableContents"/>
              <w:bidi w:val="0"/>
              <w:spacing w:before="0" w:after="283"/>
              <w:jc w:val="left"/>
              <w:rPr/>
            </w:pPr>
            <w:r>
              <w:rPr/>
              <w:t>Vivek Gupta</w:t>
            </w:r>
          </w:p>
        </w:tc>
      </w:tr>
      <w:tr>
        <w:trPr/>
        <w:tc>
          <w:tcPr>
            <w:tcW w:w="4082" w:type="dxa"/>
            <w:tcBorders/>
          </w:tcPr>
          <w:p>
            <w:pPr>
              <w:pStyle w:val="TableContents"/>
              <w:bidi w:val="0"/>
              <w:spacing w:before="0" w:after="283"/>
              <w:jc w:val="left"/>
              <w:rPr>
                <w:b/>
                <w:i/>
              </w:rPr>
            </w:pPr>
            <w:r>
              <w:rPr>
                <w:b/>
                <w:i/>
              </w:rPr>
              <w:t>Chief Executive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November 13, 2023</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19" w:name="d553855dex322.htm"/>
      <w:bookmarkStart w:id="20" w:name="ksd553855dex322"/>
      <w:bookmarkEnd w:id="19"/>
      <w:bookmarkEnd w:id="20"/>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of Mastech Digital, Inc. (the Company) on Form 10-Q for the quarter ended September 30, 2023, as filed with the Securities and Exchange Commission on the date hereof (the Report), I, John J. Cronin, Jr. Chief Financial Officer of the Company, certify, pursuant to 18 U.S.C. § 1350, as adopted pursuant to § 906 of the Sarbanes-Oxley Act of 2002, that, to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J. CRONIN, JR.</w:t>
            </w:r>
          </w:p>
        </w:tc>
      </w:tr>
      <w:tr>
        <w:trPr/>
        <w:tc>
          <w:tcPr>
            <w:tcW w:w="4082" w:type="dxa"/>
            <w:tcBorders/>
          </w:tcPr>
          <w:p>
            <w:pPr>
              <w:pStyle w:val="TableContents"/>
              <w:bidi w:val="0"/>
              <w:spacing w:before="0" w:after="283"/>
              <w:jc w:val="left"/>
              <w:rPr/>
            </w:pPr>
            <w:r>
              <w:rPr/>
              <w:t>John J. Cronin, Jr.</w:t>
            </w:r>
          </w:p>
        </w:tc>
      </w:tr>
      <w:tr>
        <w:trPr/>
        <w:tc>
          <w:tcPr>
            <w:tcW w:w="4082" w:type="dxa"/>
            <w:tcBorders/>
          </w:tcPr>
          <w:p>
            <w:pPr>
              <w:pStyle w:val="TableContents"/>
              <w:bidi w:val="0"/>
              <w:spacing w:before="0" w:after="283"/>
              <w:jc w:val="left"/>
              <w:rPr>
                <w:b/>
                <w:i/>
              </w:rPr>
            </w:pPr>
            <w:r>
              <w:rPr>
                <w:b/>
                <w:i/>
              </w:rPr>
              <w:t>Chief Financial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November 13, 2023</w:t>
            </w:r>
          </w:p>
        </w:tc>
      </w:tr>
    </w:tbl>
    <w:p>
      <w:pPr>
        <w:pStyle w:val="TextBody"/>
        <w:bidi w:val="0"/>
        <w:spacing w:before="0" w:after="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15473</Words>
  <Characters>85003</Characters>
  <CharactersWithSpaces>104348</CharactersWithSpaces>
  <Paragraphs>6522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