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4" w:lineRule="exact"/>
        <w:rPr>
          <w:sz w:val="24"/>
          <w:szCs w:val="24"/>
          <w:color w:val="auto"/>
        </w:rPr>
      </w:pPr>
    </w:p>
    <w:p>
      <w:pPr>
        <w:ind w:left="540" w:right="2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MASTECH DIGITAL,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9"/>
              </w:rPr>
              <w:t>PENNSYLVANIA</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4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60" w:type="dxa"/>
            <w:vAlign w:val="bottom"/>
          </w:tcPr>
          <w:p>
            <w:pPr>
              <w:jc w:val="center"/>
              <w:ind w:right="1419"/>
              <w:spacing w:after="0"/>
              <w:rPr>
                <w:sz w:val="20"/>
                <w:szCs w:val="20"/>
                <w:color w:val="auto"/>
              </w:rPr>
            </w:pPr>
            <w:r>
              <w:rPr>
                <w:rFonts w:ascii="Arial" w:cs="Arial" w:eastAsia="Arial" w:hAnsi="Arial"/>
                <w:sz w:val="14"/>
                <w:szCs w:val="14"/>
                <w:b w:val="1"/>
                <w:bCs w:val="1"/>
                <w:color w:val="auto"/>
                <w:w w:val="94"/>
              </w:rPr>
              <w:t>incorporation or organization)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291"/>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1"/>
              </w:rPr>
              <w:t>1305 Cherrington Parkway, Building 210, Suite 400</w:t>
            </w:r>
          </w:p>
        </w:tc>
        <w:tc>
          <w:tcPr>
            <w:tcW w:w="2640" w:type="dxa"/>
            <w:vAlign w:val="bottom"/>
          </w:tcPr>
          <w:p>
            <w:pPr>
              <w:spacing w:after="0"/>
              <w:rPr>
                <w:sz w:val="24"/>
                <w:szCs w:val="24"/>
                <w:color w:val="auto"/>
              </w:rPr>
            </w:pPr>
          </w:p>
        </w:tc>
      </w:tr>
      <w:tr>
        <w:trPr>
          <w:trHeight w:val="225"/>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0"/>
              </w:rPr>
              <w:t>Moon Township, Pennsylvania</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15108</w:t>
            </w:r>
          </w:p>
        </w:tc>
      </w:tr>
      <w:tr>
        <w:trPr>
          <w:trHeight w:val="186"/>
        </w:trPr>
        <w:tc>
          <w:tcPr>
            <w:tcW w:w="54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7"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3"/>
              </w:rPr>
              <w:t>Trading</w:t>
            </w:r>
          </w:p>
        </w:tc>
        <w:tc>
          <w:tcPr>
            <w:tcW w:w="2740" w:type="dxa"/>
            <w:vAlign w:val="bottom"/>
            <w:gridSpan w:val="3"/>
          </w:tcPr>
          <w:p>
            <w:pPr>
              <w:jc w:val="center"/>
              <w:ind w:left="124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04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Symbol(s)</w:t>
            </w:r>
          </w:p>
        </w:tc>
        <w:tc>
          <w:tcPr>
            <w:tcW w:w="2740" w:type="dxa"/>
            <w:vAlign w:val="bottom"/>
            <w:gridSpan w:val="3"/>
          </w:tcPr>
          <w:p>
            <w:pPr>
              <w:jc w:val="center"/>
              <w:ind w:left="124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Arial" w:cs="Arial" w:eastAsia="Arial" w:hAnsi="Arial"/>
                <w:sz w:val="18"/>
                <w:szCs w:val="18"/>
                <w:b w:val="1"/>
                <w:bCs w:val="1"/>
                <w:color w:val="auto"/>
                <w:w w:val="95"/>
              </w:rPr>
              <w:t>NYSE American</w:t>
            </w:r>
          </w:p>
        </w:tc>
        <w:tc>
          <w:tcPr>
            <w:tcW w:w="0" w:type="dxa"/>
            <w:vAlign w:val="bottom"/>
          </w:tcPr>
          <w:p>
            <w:pPr>
              <w:spacing w:after="0" w:line="20" w:lineRule="exact"/>
              <w:rPr>
                <w:sz w:val="1"/>
                <w:szCs w:val="1"/>
                <w:color w:val="auto"/>
              </w:rPr>
            </w:pPr>
          </w:p>
        </w:tc>
      </w:tr>
      <w:tr>
        <w:trPr>
          <w:trHeight w:val="215"/>
        </w:trPr>
        <w:tc>
          <w:tcPr>
            <w:tcW w:w="406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9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jc w:val="both"/>
        <w:ind w:left="120" w:right="1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left="120"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120" w:right="1020" w:firstLine="44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$.01 per share, outstanding as of October 29, 2021 was 11,438,013.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rPr>
              <w:t>MASTECH DIGITAL, INC.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97"/>
              </w:rPr>
              <w:t>FOR THE QUARTER ENDED SEPTEMBER 30, 2021</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05"/>
        </w:trPr>
        <w:tc>
          <w:tcPr>
            <w:tcW w:w="860" w:type="dxa"/>
            <w:vAlign w:val="bottom"/>
            <w:vMerge w:val="restart"/>
          </w:tcPr>
          <w:p>
            <w:pPr>
              <w:spacing w:after="0"/>
              <w:rPr>
                <w:sz w:val="20"/>
                <w:szCs w:val="20"/>
                <w:color w:val="auto"/>
              </w:rPr>
            </w:pPr>
            <w:r>
              <w:rPr>
                <w:rFonts w:ascii="Arial" w:cs="Arial" w:eastAsia="Arial" w:hAnsi="Arial"/>
                <w:sz w:val="18"/>
                <w:szCs w:val="18"/>
                <w:color w:val="auto"/>
              </w:rPr>
              <w:t>PART 1</w:t>
            </w:r>
          </w:p>
        </w:tc>
        <w:tc>
          <w:tcPr>
            <w:tcW w:w="2260" w:type="dxa"/>
            <w:vAlign w:val="bottom"/>
            <w:gridSpan w:val="2"/>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120" w:type="dxa"/>
            <w:vAlign w:val="bottom"/>
            <w:vMerge w:val="restart"/>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2260" w:type="dxa"/>
            <w:vAlign w:val="bottom"/>
            <w:tcBorders>
              <w:bottom w:val="single" w:sz="8" w:color="0000EE"/>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4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0" w:type="dxa"/>
            <w:vAlign w:val="bottom"/>
            <w:gridSpan w:val="2"/>
          </w:tcPr>
          <w:p>
            <w:pPr>
              <w:spacing w:after="0"/>
              <w:rPr>
                <w:sz w:val="24"/>
                <w:szCs w:val="24"/>
                <w:color w:val="auto"/>
              </w:rPr>
            </w:pPr>
          </w:p>
        </w:tc>
        <w:tc>
          <w:tcPr>
            <w:tcW w:w="77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Statements of Operations (Unaudited) for the Three and Nine Months Ended September 30, 2021 and</w:t>
        </w:r>
      </w:hyperlink>
    </w:p>
    <w:p>
      <w:pPr>
        <w:spacing w:after="0" w:line="35" w:lineRule="exact"/>
        <w:rPr>
          <w:sz w:val="20"/>
          <w:szCs w:val="20"/>
          <w:color w:val="auto"/>
        </w:rPr>
      </w:pPr>
    </w:p>
    <w:p>
      <w:pPr>
        <w:jc w:val="both"/>
        <w:ind w:left="1480"/>
        <w:spacing w:after="0"/>
        <w:tabs>
          <w:tab w:leader="none" w:pos="10960" w:val="left"/>
        </w:tabs>
        <w:rPr>
          <w:sz w:val="20"/>
          <w:szCs w:val="20"/>
          <w:color w:val="auto"/>
        </w:rPr>
      </w:pPr>
      <w:r>
        <w:rPr>
          <w:rFonts w:ascii="Arial" w:cs="Arial" w:eastAsia="Arial" w:hAnsi="Arial"/>
          <w:sz w:val="18"/>
          <w:szCs w:val="18"/>
          <w:u w:val="single" w:color="auto"/>
          <w:color w:val="0000EE"/>
        </w:rPr>
        <w:t>2020</w:t>
      </w:r>
      <w:r>
        <w:rPr>
          <w:sz w:val="20"/>
          <w:szCs w:val="20"/>
          <w:color w:val="auto"/>
        </w:rPr>
        <w:tab/>
      </w:r>
      <w:r>
        <w:rPr>
          <w:rFonts w:ascii="Arial" w:cs="Arial" w:eastAsia="Arial" w:hAnsi="Arial"/>
          <w:sz w:val="18"/>
          <w:szCs w:val="18"/>
          <w:color w:val="auto"/>
        </w:rPr>
        <w:t>3</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9800" w:type="dxa"/>
            <w:vAlign w:val="bottom"/>
            <w:gridSpan w:val="1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(b)  </w:t>
            </w:r>
            <w:hyperlink w:anchor="page4">
              <w:r>
                <w:rPr>
                  <w:rFonts w:ascii="Arial" w:cs="Arial" w:eastAsia="Arial" w:hAnsi="Arial"/>
                  <w:sz w:val="18"/>
                  <w:szCs w:val="18"/>
                  <w:color w:val="0000EE"/>
                  <w:w w:val="91"/>
                </w:rPr>
                <w:t>Condensed Consolidated Statements of Comprehensive Income (Unaudited) for the Three and Nine Months Ended September 30,</w:t>
              </w:r>
            </w:hyperlink>
          </w:p>
        </w:tc>
        <w:tc>
          <w:tcPr>
            <w:tcW w:w="3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2021 and 2020</w:t>
              </w:r>
            </w:hyperlink>
          </w:p>
        </w:tc>
        <w:tc>
          <w:tcPr>
            <w:tcW w:w="8100" w:type="dxa"/>
            <w:vAlign w:val="bottom"/>
            <w:tcBorders>
              <w:top w:val="single" w:sz="8" w:color="0000EE"/>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(Unaudited) as of September 30, 2021 and December 31,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(d)  </w:t>
            </w:r>
            <w:hyperlink w:anchor="page6">
              <w:r>
                <w:rPr>
                  <w:rFonts w:ascii="Arial" w:cs="Arial" w:eastAsia="Arial" w:hAnsi="Arial"/>
                  <w:sz w:val="18"/>
                  <w:szCs w:val="18"/>
                  <w:color w:val="0000EE"/>
                  <w:w w:val="93"/>
                </w:rPr>
                <w:t>Condensed Consolidated Statements of Shareholders’ Equity (Unaudited) for the Three and Nine Months Ended September 30,</w:t>
              </w:r>
            </w:hyperlink>
          </w:p>
        </w:tc>
        <w:tc>
          <w:tcPr>
            <w:tcW w:w="30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2021 and 2020</w:t>
              </w:r>
            </w:hyperlink>
          </w:p>
        </w:tc>
        <w:tc>
          <w:tcPr>
            <w:tcW w:w="7920" w:type="dxa"/>
            <w:vAlign w:val="bottom"/>
            <w:tcBorders>
              <w:top w:val="single" w:sz="8" w:color="0000EE"/>
            </w:tcBorders>
            <w:gridSpan w:val="9"/>
          </w:tcPr>
          <w:p>
            <w:pPr>
              <w:spacing w:after="0"/>
              <w:rPr>
                <w:sz w:val="17"/>
                <w:szCs w:val="17"/>
                <w:color w:val="auto"/>
              </w:rPr>
            </w:pPr>
          </w:p>
        </w:tc>
        <w:tc>
          <w:tcPr>
            <w:tcW w:w="3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(e)  </w:t>
            </w:r>
            <w:hyperlink w:anchor="page7">
              <w:r>
                <w:rPr>
                  <w:rFonts w:ascii="Arial" w:cs="Arial" w:eastAsia="Arial" w:hAnsi="Arial"/>
                  <w:sz w:val="18"/>
                  <w:szCs w:val="18"/>
                  <w:color w:val="0000EE"/>
                  <w:w w:val="96"/>
                </w:rPr>
                <w:t>Condensed Consolidated Statements of Cash Flows (Unaudited) for the Nine Months Ended September 30, 2021 and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8">
              <w:r>
                <w:rPr>
                  <w:rFonts w:ascii="Arial" w:cs="Arial" w:eastAsia="Arial" w:hAnsi="Arial"/>
                  <w:sz w:val="18"/>
                  <w:szCs w:val="18"/>
                  <w:color w:val="0000EE"/>
                </w:rPr>
                <w:t>Notes to Condensed Consolidated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4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PART II</w:t>
            </w:r>
          </w:p>
        </w:tc>
        <w:tc>
          <w:tcPr>
            <w:tcW w:w="98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4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86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870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860" w:type="dxa"/>
            <w:vAlign w:val="bottom"/>
          </w:tcPr>
          <w:p>
            <w:pPr>
              <w:spacing w:after="0"/>
              <w:rPr>
                <w:sz w:val="24"/>
                <w:szCs w:val="24"/>
                <w:color w:val="auto"/>
              </w:rPr>
            </w:pPr>
          </w:p>
        </w:tc>
        <w:tc>
          <w:tcPr>
            <w:tcW w:w="5240" w:type="dxa"/>
            <w:vAlign w:val="bottom"/>
            <w:gridSpan w:val="12"/>
          </w:tcPr>
          <w:p>
            <w:pPr>
              <w:ind w:left="46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59,531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42,911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34,293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119,225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106,926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16,620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13,090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11,645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Revaluation of contingent consideration liability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11,645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11,441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11,381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12,025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12,042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Three Months Ended</w:t>
            </w:r>
          </w:p>
        </w:tc>
        <w:tc>
          <w:tcPr>
            <w:tcW w:w="14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8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$ 3,406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$ 8,338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$ 7,836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 on interest-rate swap contracts</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pretax net unrealized gain (loss)</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gain (loss), net of taxes</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$ 3,437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3,134</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$ 7,617</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78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7,677</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uncollectible accounts of $393 in 2021 and $413 in 2020</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32,471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22,036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4,171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1,346</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41,157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Equipment, enterprise software, and leasehold improvements, at cost: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Enterprise software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3,259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2,730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r>
      <w:tr>
        <w:trPr>
          <w:trHeight w:val="223"/>
        </w:trPr>
        <w:tc>
          <w:tcPr>
            <w:tcW w:w="8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 accumulated 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(3,253)</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Net equipment, enterprise software, and leasehold improvements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Goodwill, net of impairment</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32,510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32,510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19,552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21,930</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115,082</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102,046</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4,942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2,589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27,846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21,971</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2,882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 less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Long-term accrued income taxes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Long-term payroll tax liabilities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2,295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2,295</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42,513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Commitments and contingent liabilities (Note 6)</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Preferred Stock, no par value; 20,000,000 shares authorized; none outstanding</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par value $.01; 250,000,000 shares authorized and 13,084,433 shares issued as September 30,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2021 and 13,039,893 shares issued as of December 31, 2020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27,865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25,509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46,958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38,620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1,646,420 shares as of September 30, 2021 and as of December 31, 2020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(4,187)</w:t>
            </w:r>
          </w:p>
        </w:tc>
      </w:tr>
      <w:tr>
        <w:trPr>
          <w:trHeight w:val="230"/>
        </w:trPr>
        <w:tc>
          <w:tcPr>
            <w:tcW w:w="878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115,082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102,046</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86"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7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 of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Balances, March 31, 2021</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$ 26,231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Balances, June 30, 2021</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$ 27,172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comprehensive gain, net of taxes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Balances, September 30, 2021</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$ 27,865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7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$ 21,939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Balances, March 31, 2020</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$ 22,950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Balances, June 30, 2020</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$ 24,432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comprehensive gain, net of taxes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2020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$ 24,901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36,595</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Nine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56"/>
        </w:trPr>
        <w:tc>
          <w:tcPr>
            <w:tcW w:w="9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8,338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7,836</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2,599</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Interest amortization of deferred financing costs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Revaluation of contingent consideration liability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Operating lease assets and liabilities,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disposition of fixed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Working capital items: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and unbilled receivables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(13,391)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Accrued payroll and related costs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6,530</w:t>
            </w: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16,938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(payment for) non-current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sale of fixed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ind w:left="108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(Repayments) borrowings on revolving credit facility, net</w:t>
            </w: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(9,501)</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facility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(7,394)</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Proceeds from the issuance of common shares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r>
      <w:tr>
        <w:trPr>
          <w:trHeight w:val="230"/>
        </w:trPr>
        <w:tc>
          <w:tcPr>
            <w:tcW w:w="9260" w:type="dxa"/>
            <w:vAlign w:val="bottom"/>
          </w:tcPr>
          <w:p>
            <w:pPr>
              <w:ind w:left="108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(15,460)</w:t>
            </w:r>
          </w:p>
        </w:tc>
        <w:tc>
          <w:tcPr>
            <w:tcW w:w="12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2021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60" w:right="6720" w:hanging="444"/>
        <w:spacing w:after="0" w:line="377" w:lineRule="auto"/>
        <w:tabs>
          <w:tab w:leader="none" w:pos="5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Reflective of our 2017 acquisition of the services division of Canada-based InfoTrellis, Inc., we have added specialized capabilities in delivering data and analytics services to our customers globally. This business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capabilities in customer experience strategy and managed services offering for a variety of Cloud-based enterprise applications across sales, marketing and customer services organizations.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IT staffing business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COVID-19 pandemic had a material impact on activity levels in both of our business segments in 2020. During the first nine months of 2021, we are encouraged by the global roll-out of vaccination programs and signs of economic expansion and improving economic conditions as the impact of the pandemic subsides. There is, however, still uncertainty regarding the virus and the pace, nature and extent of the recovery of global markets.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2020, included in our Annual Report on Form 10-K filed with the SEC on March 16, 2021. Additionally, our operating results for the three and nine months ended September 30, 2021 are not necessarily indicative of the results that can be expected for the year ending December 31, 2021 or for any other period.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Financial Statements include the accounts of the Company and its wholly-owned subsidiaries. All material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nine months ended September 30, 2021.</w:t>
      </w:r>
    </w:p>
    <w:p>
      <w:pPr>
        <w:sectPr>
          <w:pgSz w:w="11900" w:h="16838" w:orient="portrait"/>
          <w:cols w:equalWidth="0" w:num="1">
            <w:col w:w="11100"/>
          </w:cols>
          <w:pgMar w:left="320" w:top="486" w:right="47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00"/>
          </w:cols>
          <w:pgMar w:left="320" w:top="486" w:right="4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15"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 Revenue is earned on a per transaction or labor hour basis, as that amount directly corresponds to the value of the Company’s performance. Revenue recognition is negatively impacted by holidays and consultant vacation and sick days.</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Data Engineering and Analytics, which can be delivered using onsite and offshore resources.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line="155" w:lineRule="exact"/>
              <w:rPr>
                <w:sz w:val="20"/>
                <w:szCs w:val="20"/>
                <w:color w:val="auto"/>
              </w:rPr>
            </w:pPr>
            <w:r>
              <w:rPr>
                <w:rFonts w:ascii="Arial" w:cs="Arial" w:eastAsia="Arial" w:hAnsi="Arial"/>
                <w:sz w:val="14"/>
                <w:szCs w:val="14"/>
                <w:b w:val="1"/>
                <w:bCs w:val="1"/>
                <w:color w:val="auto"/>
                <w:w w:val="82"/>
              </w:rPr>
              <w:t>(Amounts</w:t>
            </w:r>
          </w:p>
        </w:tc>
        <w:tc>
          <w:tcPr>
            <w:tcW w:w="3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Data and Analytics Services Segment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Time-and-material Contracts</w:t>
            </w:r>
          </w:p>
        </w:tc>
        <w:tc>
          <w:tcPr>
            <w:tcW w:w="1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6,021</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4,140</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Arial" w:cs="Arial" w:eastAsia="Arial" w:hAnsi="Arial"/>
                <w:sz w:val="18"/>
                <w:szCs w:val="18"/>
                <w:color w:val="auto"/>
              </w:rPr>
              <w:t>17,792</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11,952</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10,475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9,356</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10,523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28,267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IT Staffing Services Segment</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Time-and-material Contracts</w:t>
            </w:r>
          </w:p>
        </w:tc>
        <w:tc>
          <w:tcPr>
            <w:tcW w:w="2580" w:type="dxa"/>
            <w:vAlign w:val="bottom"/>
            <w:tcBorders>
              <w:top w:val="single" w:sz="8" w:color="CCEEFF"/>
            </w:tcBorders>
            <w:gridSpan w:val="2"/>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Arial" w:cs="Arial" w:eastAsia="Arial" w:hAnsi="Arial"/>
                <w:sz w:val="18"/>
                <w:szCs w:val="18"/>
                <w:color w:val="auto"/>
                <w:w w:val="98"/>
              </w:rPr>
              <w:t>49,008</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4"/>
              </w:rPr>
              <w:t>40,207</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Arial" w:cs="Arial" w:eastAsia="Arial" w:hAnsi="Arial"/>
                <w:sz w:val="18"/>
                <w:szCs w:val="18"/>
                <w:color w:val="auto"/>
                <w:w w:val="89"/>
              </w:rPr>
              <w:t>134,697</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89"/>
              </w:rPr>
              <w:t>124,083</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49,008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40,207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134,697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124,083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w w:val="98"/>
              </w:rPr>
              <w:t>59,531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47,383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w w:val="89"/>
              </w:rPr>
              <w:t>162,964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145,391</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the three months ended September 30, 2021, the Company had two clients that exceeded 10% of total revenue (CGI = 14.6% and Accenture =10.4%). For the nine months ended September 30, 2021, the Company had one client that exceeded 10% of total revenue (CGI = 14.8%). For the three and nine months ended September 30, 2020, the Company had the same one client that exceeded 10% of total revenue in both periods (CGI = 16.6% and 14.8%, respectively).</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Company’s top ten clients represented approximately 49% and 51% of total revenues for the three months ended September 30, 2021 and 2020, respectively. For the nine months ended September 30, 2021 and 2020, the Company’s top ten clients represented approximately 48% of total revenues for both periods. The following table presents our revenue from external customers disaggregated by geography, based on the work location of our customers: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360" w:type="dxa"/>
            <w:vAlign w:val="bottom"/>
          </w:tcPr>
          <w:p>
            <w:pPr>
              <w:spacing w:after="0"/>
              <w:rPr>
                <w:sz w:val="14"/>
                <w:szCs w:val="14"/>
                <w:color w:val="auto"/>
              </w:rPr>
            </w:pPr>
          </w:p>
        </w:tc>
        <w:tc>
          <w:tcPr>
            <w:tcW w:w="20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63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5"/>
        </w:trPr>
        <w:tc>
          <w:tcPr>
            <w:tcW w:w="63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(Amounts</w:t>
            </w:r>
          </w:p>
        </w:tc>
        <w:tc>
          <w:tcPr>
            <w:tcW w:w="3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3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(Amounts</w:t>
            </w:r>
          </w:p>
        </w:tc>
        <w:tc>
          <w:tcPr>
            <w:tcW w:w="3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74"/>
              </w:rPr>
              <w:t>thousands)</w:t>
            </w:r>
          </w:p>
        </w:tc>
        <w:tc>
          <w:tcPr>
            <w:tcW w:w="40" w:type="dxa"/>
            <w:vAlign w:val="bottom"/>
          </w:tcPr>
          <w:p>
            <w:pPr>
              <w:spacing w:after="0"/>
              <w:rPr>
                <w:sz w:val="13"/>
                <w:szCs w:val="13"/>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$ 57,682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46,445</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7"/>
              </w:rPr>
              <w:t>$157,156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$142,572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768</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rPr>
              <w:t>3,270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2,363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2,538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$ 59,531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47,383</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162,964</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145,391</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October 1, 2020, Mastech Digital, Inc., through its wholly-owned subsidiary Mastech Digital Data, Inc., acquired all of the outstanding shares of AmberLeaf Partners, Inc. (“AmberLeaf”). Under the terms of the Share Purchase Agreement executed in connection with the AmberLeaf acquisition (the “Purchase Agreement”), the Company paid at the closing of the acquisition approximately $9.7 million in cash. The Purchase Agreement also requires the Company to pay to the former shareholders of AmberLeaf up to $4.5 million in deferred cash payments, which payments are contingent upon the AmberLeaf business achieving specific revenue growth and EBITDA margin targets. The amount of these deferred cash payments, if any, is based upon the revenue growth and EBITDA margins of the AmberLeaf business for the 12-month period beginning on January 1, 2021 and for the 12-month period beginning January 1, 2022, as described more fully in the Purchase Agreement.</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fund the acquisition, on October 1, 2020 the Company entered into a Third Amendment (the “Third Amendment”) to its Credit Agreement, as amended and dated April 20, 2018. The Third Amendment amends the Credit Agreement by, among other things, (1) increasing the aggregate commitment amount of the revolving credit facility to $30 million (an increase of $7.5 million); (2) providing for the Term Loan facility in the aggregate amount of $17.5 million (an increase of $10 million); (3) providing for an increase in the total commitment amount to the facility in an aggregate amount not to exceed $15 million, upon the satisfaction of certain conditions; and (4) amending the financial covenant in the Credit Agreement related to the Company’s Fixed Charge Coverage Ratio (as defined in the Credit Agreement) by increasing the minimum permitted Fixed Charge Coverage Ratio for each of the fiscal quarters ending on or after September 30, 2020.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acquisition was accounted for using the acquisition method of accounting. The acquisition method of accounting requires that the assets acquired and liabilities assumed be measured at their fair value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consideration for the acquired business on the October 1, 2020 closing date:</w:t>
      </w:r>
    </w:p>
    <w:p>
      <w:pPr>
        <w:spacing w:after="0" w:line="234"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98"/>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purchase price at closing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9,664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payout of contingent consideration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2,882</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Fair Value of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valuation conducted by an independent third party, the fair value of contingent consideration at the closing date was determined to be $2,882,000. During the three month period ended June 30, 2021, the Company revalued the contingent consideration liability related to the AmberLeaf acquisition after determining that relevant conditions for payment of such liabilities were unlikely to be fully satisfied. The revaluation resulted in a $2.0 million reduction to the contingent consideration liability.</w:t>
      </w:r>
    </w:p>
    <w:p>
      <w:pPr>
        <w:spacing w:after="0" w:line="18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cash purchase price at closing was paid with funds obtained from the following sources:</w:t>
      </w:r>
    </w:p>
    <w:p>
      <w:pPr>
        <w:spacing w:after="0" w:line="234"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7"/>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balances on hand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7"/>
                <w:szCs w:val="17"/>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Increase in term loan debt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10,000</w:t>
            </w: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23"/>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 Paid at Closing</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October 1, 2020, as set forth below. The excess purchase price over the fair values of the net tangible assets and identifiable intangible assets was recorded as goodwill, which includes value associated with the assembled workforce. Goodwill is expected to be largely deductible for tax purposes. The valuation of net assets acquired is as follows: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98"/>
              </w:rPr>
              <w:t>Amounts</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on hand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Working capital assets, net of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1,153</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2,970</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 not-to-compete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6,404</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fair value of identifiable intangible assets has been estimated using the income approach through a discounted cash flow analysis. Specifically, the Company used the income approach through an excess earnings analysis to determine the fair value of client relationships. The value applied to the covenant not-to-compete was based on an income approach using a “with or without” analysis of this covenant in place. The trade name and technology were valued using the income approach—relief from royalty method. All identifiable intangibles are considered level 3 inputs under the fair value measurement and disclosure guidance.</w:t>
      </w:r>
    </w:p>
    <w:p>
      <w:pPr>
        <w:spacing w:after="0" w:line="188"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Company incurred $650,000 of transaction expenses related to the acquisition in 2020 inclusive of the write-off of $185,000 of deferred finance costs. No transaction costs were incurred for the three and nine month periods ended September 30, 2021 and 2020.</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Included in the Condensed Statement of Operations for the three and nine month periods ended September 30, 2021 are revenues of $1.9 million and $5.7 million, respectively, and net income of approximately $0.3 million and $0.4 million excluding the impact of the contingent consideration revaluation), respectively, applicable to the AmberLeaf operations acquired on October 1,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reflects the Company’s unaudited pro forma results had the results of AmberLeaf been included for all periods presented:</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19"/>
        </w:trPr>
        <w:tc>
          <w:tcPr>
            <w:tcW w:w="4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40"/>
              <w:spacing w:after="0" w:line="119"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18"/>
              <w:spacing w:after="0" w:line="119"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40"/>
              <w:spacing w:after="0" w:line="119"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Actual</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in thousands, except per share data)</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59,531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50,281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162,964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154,132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bl>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information above does not reflect all of the operating efficiencies or inefficiencies that may have resulted from the AmberLeaf acquisition in those periods prior to the acquisition. Therefore, the unaudited pro forma information above is not necessarily indicative of results that would have been achieved had the business been combined during all periods presented.</w:t>
      </w:r>
    </w:p>
    <w:p>
      <w:pPr>
        <w:spacing w:after="0" w:line="328"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related to the InfoTrellis acquisition of $9.7 million. Goodwill related to our October 1, 2020 acquisition of AmberLeaf totaled $6.4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amortizing the identifiable intangible assets on a straight-line basis over estimated average lives ranging from 3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Identifiable intangible assets were comprised of the following as of September 30, 2021 and December 31,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1"/>
              </w:rPr>
              <w:t>As of September 30, 2021</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Amortization</w:t>
            </w:r>
          </w:p>
        </w:tc>
        <w:tc>
          <w:tcPr>
            <w:tcW w:w="15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64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2"/>
                <w:szCs w:val="12"/>
                <w:color w:val="auto"/>
              </w:rPr>
            </w:pPr>
          </w:p>
        </w:tc>
        <w:tc>
          <w:tcPr>
            <w:tcW w:w="138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Value</w:t>
            </w: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6,094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13,547</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3"/>
              </w:rPr>
              <w:t>As of December 31, 2020</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Amortization</w:t>
            </w:r>
          </w:p>
        </w:tc>
        <w:tc>
          <w:tcPr>
            <w:tcW w:w="15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continue"/>
          </w:tcPr>
          <w:p>
            <w:pPr>
              <w:spacing w:after="0"/>
              <w:rPr>
                <w:sz w:val="12"/>
                <w:szCs w:val="12"/>
                <w:color w:val="auto"/>
              </w:rPr>
            </w:pPr>
          </w:p>
        </w:tc>
        <w:tc>
          <w:tcPr>
            <w:tcW w:w="164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2"/>
                <w:szCs w:val="12"/>
                <w:color w:val="auto"/>
              </w:rPr>
            </w:pPr>
          </w:p>
        </w:tc>
        <w:tc>
          <w:tcPr>
            <w:tcW w:w="1380" w:type="dxa"/>
            <w:vAlign w:val="bottom"/>
            <w:gridSpan w:val="3"/>
          </w:tcPr>
          <w:p>
            <w:pPr>
              <w:ind w:left="120"/>
              <w:spacing w:after="0" w:line="125" w:lineRule="exact"/>
              <w:rPr>
                <w:sz w:val="20"/>
                <w:szCs w:val="20"/>
                <w:color w:val="auto"/>
              </w:rPr>
            </w:pPr>
            <w:r>
              <w:rPr>
                <w:rFonts w:ascii="Arial" w:cs="Arial" w:eastAsia="Arial" w:hAnsi="Arial"/>
                <w:sz w:val="14"/>
                <w:szCs w:val="14"/>
                <w:b w:val="1"/>
                <w:bCs w:val="1"/>
                <w:color w:val="auto"/>
              </w:rPr>
              <w:t>Value</w:t>
            </w: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3,694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4,866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11,169</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Amortization expense for the three and nine month periods ended September 30, 2021 totaled $792,000 and $2.4 million, respectively, and is included in selling, general and administrative expenses in the Consolidated Statement of Operations. For the three and nine month periods ended September 30, 2020, amortization expense was $656,000 and $2.0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aggregate amortization expense for intangible assets for the years ending December 31, 2021 through 2025 is as follows:</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3"/>
                <w:szCs w:val="13"/>
                <w:color w:val="auto"/>
              </w:rPr>
            </w:pPr>
          </w:p>
        </w:tc>
      </w:tr>
      <w:tr>
        <w:trPr>
          <w:trHeight w:val="155"/>
        </w:trPr>
        <w:tc>
          <w:tcPr>
            <w:tcW w:w="44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90"/>
              </w:rPr>
              <w:t>(Amounts 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$3,168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$2,987</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$2,772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$2,693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$2,553</w:t>
            </w:r>
          </w:p>
        </w:tc>
      </w:tr>
    </w:tbl>
    <w:p>
      <w:pPr>
        <w:spacing w:after="0" w:line="225"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September 30, 2021, approximately 97,000 square feet of office space is utilized for our sales and recruiting offices, delivery centers, and corporate headquarters. All of our leases are classified as operating leases. The average initial lease term is four years. Several leases have an option to renew, at our sole discretion, for an additional term. Our present lease terms range from less than one year to 5.5 years with an average of 2.8 years. Leases with an initial term of twelve months or less are not recorded on the balance sheet.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4"/>
          </w:tcPr>
          <w:p>
            <w:pPr>
              <w:ind w:left="420"/>
              <w:spacing w:after="0" w:line="155" w:lineRule="exact"/>
              <w:rPr>
                <w:sz w:val="20"/>
                <w:szCs w:val="20"/>
                <w:color w:val="auto"/>
              </w:rPr>
            </w:pPr>
            <w:r>
              <w:rPr>
                <w:rFonts w:ascii="Arial" w:cs="Arial" w:eastAsia="Arial" w:hAnsi="Arial"/>
                <w:sz w:val="14"/>
                <w:szCs w:val="14"/>
                <w:b w:val="1"/>
                <w:bCs w:val="1"/>
                <w:color w:val="auto"/>
              </w:rPr>
              <w:t>(Amounts in thousands)</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88"/>
              </w:rPr>
              <w:t>5,229</w:t>
            </w:r>
          </w:p>
        </w:tc>
        <w:tc>
          <w:tcPr>
            <w:tcW w:w="8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3,286</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88"/>
              </w:rPr>
              <w:t>1,494</w:t>
            </w:r>
          </w:p>
        </w:tc>
        <w:tc>
          <w:tcPr>
            <w:tcW w:w="8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4,052</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w:t>
            </w:r>
          </w:p>
        </w:tc>
      </w:tr>
      <w:tr>
        <w:trPr>
          <w:trHeight w:val="223"/>
        </w:trPr>
        <w:tc>
          <w:tcPr>
            <w:tcW w:w="50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5,546</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4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payments for office facilities and equipment under the Company’s noncancelable operating leases are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Amount as of</w:t>
            </w: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2021</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2021 (For remainder of year)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4.2%.</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recognize rent expense for these leases on a straight-line basis over the lease term. Rental expense for the three and nine months ended September 30, 2021 totaled $0.4 million and $1.3 million, respectively. Rental expense for the three and nine months ended September 30, 2020 totaled $0.4 million and $1.2 million,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cash paid for lease liabilities for the three and nine months ended September 30, 2021 totaled $0.4 million and $1.1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cash paid for lease liabilities for the three and nine months ended September 30, 2020 totaled $0.4 million and $1.2 million, respectively.</w:t>
      </w:r>
    </w:p>
    <w:p>
      <w:pPr>
        <w:spacing w:after="0" w:line="22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New leases entered into during the three and nine months ended September 30, 2021 totaled $0 and $3.1 million, respectively. New leases entered into during the three and nine months ended September 30, 2020 totaled $0 and $0.2 million, respectively.</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April 1, 2021, the Company entered into an operating lease for 35,356 square feet of office space in Chennai, India, which replaces a 19,120 square foot lease.</w:t>
      </w:r>
    </w:p>
    <w:p>
      <w:pPr>
        <w:spacing w:after="0" w:line="31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1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nine month periods ended September 30, 2021 and 2020.</w:t>
      </w:r>
    </w:p>
    <w:p>
      <w:pPr>
        <w:spacing w:after="0" w:line="331"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September 30, 2021 and September 30, 2020, the Company granted no shares under the Plan.</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During the nine months ended September 30, 2021, the Company granted restricted share units of 11,955 and 270,000 stock option grants at an average strike price of $17.65. During the nine months ended September 30, 2020, the Company granted restricted share units of 11,475 and 800,000 stock option grants at an average strike price of $15.49. As of September 30, 2021 and December 31, 2020, there were 343,000 shares and 613,000 shares, respectively, available for grants under the Plan.</w:t>
      </w:r>
    </w:p>
    <w:p>
      <w:pPr>
        <w:spacing w:after="0" w:line="18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Stock-based compensation expense for the three months ended September 30, 2021 and 2020 was $693,000 and $462,000, respectively, and for the nine months ended September 30, 2021 and 2020 was $2.1 million and $1.5 million. Stock-based compensation expense is included in selling, general and administrative expenses in the Condensed Consolidated Statements of Operations.</w:t>
      </w:r>
    </w:p>
    <w:p>
      <w:pPr>
        <w:spacing w:after="0" w:line="165"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During the three and nine months ended September 30, 2021, the Company issued 0 and 30,239 shares, respectively, related to the vesting of restricted shares and the exercising of stock options. During the three and nine months ended September 30, 2020, the Company issued 1,000 and 318,774 shares, respectively, related to the vesting of restricted shares and the exercising of stock options.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was required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ectPr>
          <w:pgSz w:w="11900" w:h="16838" w:orient="portrait"/>
          <w:cols w:equalWidth="0" w:num="1">
            <w:col w:w="11120"/>
          </w:cols>
          <w:pgMar w:left="320" w:top="486"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the three months ended September 30, 2021 and 2020, there were no shares issued under the Stock Purchase Plan. During the nine months ended September 30, 2021 and 2020, there were 14,301 shares and 11,735 shares issued under the Stock Purchase Plan at a share price of $12.71 and $8.97, respectively. Stock-based compensation expense related to the Stock Purchase Plan for the three months ended September 30, 2021 and 2020 totaled $25,000 and $21,000, respectively. Stock-based compensation expense related to the Stock Purchase Plan for the nine months ended September 30, 2021 and 2020 totaled $106,000 and $58,000, respectively, and is included in selling, general and administrative expenses in the Condensed Consolidated Statements of Operations. At September 30, 2021, there were 524,740 shares available for grants under the Plan.</w:t>
      </w:r>
    </w:p>
    <w:p>
      <w:pPr>
        <w:spacing w:after="0" w:line="309"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$47.5 million, consisting of (i) a revolving credit facility (the “Revolver”) in an aggregate principal amount not to exceed $30 million (subject to increase by up to an additional $15 million upon satisfaction of certain conditions) and; (ii) a $17.5 million term loan facility (the “Term Loan), as more fully described in Exhibit 10.1 to the Company’s Form 8-Ks filed with the SEC on July 19, 2017 and April 25, 2018, and Exhibit 10.2 to the Form 8-K/A filed with the SEC on October 7, 2020.</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Revolver expires in October 2023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$10.0 million; and (ii) the sum of 85% of eligible Canadian receivables, plus 60% of eligible Canadian unbilled receivables, less a reserve amount established by the administrative agent.</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Amounts borrowed under the Term Loan are required to be repaid in consecutive quarterly installments through and including the maturity date of October 1, 2023. The principal amount of each quarterly installment payable on the Term Loan equals $1.1 million through and including the maturity date, with the maturity date payment equal to the outstanding amount of the loan on that date.</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Borrowings under the revolver and the term loan, at the Company’s election, bear interest at either (a) the higher of PNC’s prime rate or the federal funds rate plus 0.50%, plus an applicable margin determined based upon the Company’s senior leverage ratio or (b) an adjusted London Interbank Offered Rate (“LIBOR”), with a floor of 0.50%, plus an applicable margin determined based upon the Company’s senior leverage ratio. The applicable margin on the base rate is between 0.50% and 1.25% on revolver borrowings and between 1.75% and 2.50% on term loans. The applicable margin on the adjusted LIBOR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77"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September 30, 2021, the Company was in compliance with all provisions under the facility.</w:t>
      </w:r>
    </w:p>
    <w:p>
      <w:pPr>
        <w:spacing w:after="0" w:line="15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connection with securing the commitments under the Credit Agreement and the April 20, 2018 and October 1, 2020 amendments to the Credit Agreement, the Company paid a commitment fee and incurred deferred financing costs totaling $752,000, which were capitalized and are being amortized as interest expense over the life of the facility. Deferred financing costs of $164,000 and $225,000 (net of amortization) as of September 30, 2021 and December 31, 2020, respectively, are presented as reductions in long-term debt in the Company’s Condensed Consolidated Balance Sheets.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September 30, 2021 and December 31, 2020, the Company had no outstanding borrowings under the Revolver and unused borrowing capacity available was approximately $30.0 million and $22.0 million, respectively. The Company’s outstanding borrowings under the term loan were $14.2 million and $17.5 million at September 30, 2021 and December 31, 2020, respectively.</w:t>
      </w:r>
    </w:p>
    <w:p>
      <w:pPr>
        <w:spacing w:after="0" w:line="328"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components of income before income taxes, as shown in the accompanying Financial Statements, consisted of the following for the three and nine months ended September 30, 2021 and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3"/>
                <w:szCs w:val="13"/>
                <w:color w:val="auto"/>
              </w:rPr>
            </w:pPr>
          </w:p>
        </w:tc>
      </w:tr>
      <w:tr>
        <w:trPr>
          <w:trHeight w:val="155"/>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(Amounts</w:t>
            </w:r>
          </w:p>
        </w:tc>
        <w:tc>
          <w:tcPr>
            <w:tcW w:w="32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96"/>
              </w:rPr>
              <w:t>in</w:t>
            </w:r>
          </w:p>
        </w:tc>
        <w:tc>
          <w:tcPr>
            <w:tcW w:w="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4"/>
              </w:rPr>
              <w:t>thousands)</w:t>
            </w:r>
          </w:p>
        </w:tc>
        <w:tc>
          <w:tcPr>
            <w:tcW w:w="40" w:type="dxa"/>
            <w:vAlign w:val="bottom"/>
          </w:tcPr>
          <w:p>
            <w:pPr>
              <w:spacing w:after="0"/>
              <w:rPr>
                <w:sz w:val="13"/>
                <w:szCs w:val="13"/>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4,644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3,505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12,091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8,858</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r>
      <w:tr>
        <w:trPr>
          <w:trHeight w:val="223"/>
        </w:trPr>
        <w:tc>
          <w:tcPr>
            <w:tcW w:w="656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11,544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9,733</w:t>
            </w:r>
          </w:p>
        </w:tc>
        <w:tc>
          <w:tcPr>
            <w:tcW w:w="4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has foreign subsidiaries outside the United States, which generate revenues from non-US based clients. Additionally, these subsidiaries provide services to the Company’s U.S. parents. Accordingly, the Company allocates a portion of its income to these subsidiaries based on a “transfer pricing” model and reports such income as foreign in the above table.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provision for income taxes, as shown in the accompanying Financial Statements, consisted of the following for the three and nine months ended September 30, 2021 and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9"/>
              </w:rPr>
              <w:t>thousands)</w:t>
            </w:r>
          </w:p>
        </w:tc>
        <w:tc>
          <w:tcPr>
            <w:tcW w:w="3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Federal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8"/>
              <w:spacing w:after="0"/>
              <w:rPr>
                <w:sz w:val="20"/>
                <w:szCs w:val="20"/>
                <w:color w:val="auto"/>
              </w:rPr>
            </w:pPr>
            <w:r>
              <w:rPr>
                <w:rFonts w:ascii="Arial" w:cs="Arial" w:eastAsia="Arial" w:hAnsi="Arial"/>
                <w:sz w:val="18"/>
                <w:szCs w:val="18"/>
                <w:color w:val="auto"/>
              </w:rPr>
              <w:t>550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8"/>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Foreign</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provision</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State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8"/>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Total deferred provision (benefit)</w:t>
            </w:r>
          </w:p>
        </w:tc>
        <w:tc>
          <w:tcPr>
            <w:tcW w:w="2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80" w:type="dxa"/>
            <w:vAlign w:val="bottom"/>
            <w:vMerge w:val="restart"/>
          </w:tcPr>
          <w:p>
            <w:pPr>
              <w:jc w:val="right"/>
              <w:ind w:right="13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reconciliation of income taxes computed using the statutory U.S. income tax rate and the provision for income taxes for the three and nine months ended September 30, 2021 and 2020 were as follows (amounts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12"/>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5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1"/>
              </w:rPr>
              <w:t>September 30, 2021</w:t>
            </w:r>
          </w:p>
        </w:tc>
        <w:tc>
          <w:tcPr>
            <w:tcW w:w="28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0"/>
              </w:rPr>
              <w:t>September 30,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options/restricted shares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Difference in income tax rate on foreign earnings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(73)</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1,334</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28.1%</w:t>
            </w:r>
          </w:p>
        </w:tc>
        <w:tc>
          <w:tcPr>
            <w:tcW w:w="10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1,028</w:t>
            </w:r>
          </w:p>
        </w:tc>
        <w:tc>
          <w:tcPr>
            <w:tcW w:w="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9"/>
          </w:tcPr>
          <w:p>
            <w:pPr>
              <w:ind w:left="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September 30, 2021</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$ 2,424</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160" w:type="dxa"/>
            <w:vAlign w:val="bottom"/>
            <w:gridSpan w:val="2"/>
            <w:shd w:val="clear" w:color="auto" w:fill="CCEEFF"/>
          </w:tcPr>
          <w:p>
            <w:pPr>
              <w:spacing w:after="0"/>
              <w:rPr>
                <w:sz w:val="18"/>
                <w:szCs w:val="18"/>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9"/>
              </w:rPr>
              <w:t>$ 2,044</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2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8"/>
                <w:szCs w:val="18"/>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454</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options/restricted shares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Difference in income tax rate on foreign earnings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2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167</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$ 3,206</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27.8%</w:t>
            </w:r>
          </w:p>
        </w:tc>
        <w:tc>
          <w:tcPr>
            <w:tcW w:w="160" w:type="dxa"/>
            <w:vAlign w:val="bottom"/>
            <w:gridSpan w:val="2"/>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$ 1,897</w:t>
            </w:r>
          </w:p>
        </w:tc>
        <w:tc>
          <w:tcPr>
            <w:tcW w:w="2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September 30, 2021, our valuation allowance was comprised of balances within locations of Singapore and the United Kingdom. The valuation allowance balances at these locations totaled $268,000 and $179,000 as of September 30, 2021 and December 31, 2020, respectively, and reflect net operating losses which may not be realizable in the future.</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IRS’s audit of the Company’s 2018 tax return was completed in third quarter with no adjustment to our original filing. The Company’s Canadian subsidiary for the years 2018 and 2019 are currently under audit.</w:t>
      </w:r>
    </w:p>
    <w:p>
      <w:pPr>
        <w:spacing w:after="0" w:line="315"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 Management</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Concurrent with the Company’s July 13, 2017 borrowings under its new credit facility, the Company entered into a 44–month interest-rate swap to convert the debt’s variable interest rate to a fixed rate of interest. Under the swap contracts, which matured on April 1, 2021, the Company paid interest at a fixed rate of 1.99% and received interest at a variable rate equal to the daily U.S. LIBOR on an initial notional amount of $15.0 million. Notional amounts were $0 and $8.1 million at September 30, 2021 and December 31, 2020, respectively. These swap contracts have been designated as cash flow hedging instruments and qualified as effective hedges at inception under ASC Topic 815, “Derivatives and Hedging”. These contracts are recognized on the balance sheet at fair value. The effective portion of the changes in fair value on these instruments is recorded in other comprehensive income (loss) and is reclassified into the Consolidated Statements of Operations as interest expense in the same period in which the underlying hedge transaction affects earnings. Changes in the fair value of interest-rate swap contracts deemed ineffective are recognized in the Consolidated Statements of Operations as interest expense. The fair value of the interest-rate swap contracts at September 30, 2021 and December 31, 2020 was $0 and a liability of $35,000, respectively, and is reflected in the Consolidated Balance Sheets as other current liabilities.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The effect of derivative instruments on the Condensed Consolidated Statements of Operations and Comprehensive Income are as follows (in thousands):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Location of</w:t>
            </w:r>
          </w:p>
        </w:tc>
        <w:tc>
          <w:tcPr>
            <w:tcW w:w="18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Gain / (Loss)</w:t>
            </w:r>
          </w:p>
        </w:tc>
        <w:tc>
          <w:tcPr>
            <w:tcW w:w="142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2"/>
              </w:rPr>
              <w:t>Location of</w:t>
            </w:r>
          </w:p>
        </w:tc>
        <w:tc>
          <w:tcPr>
            <w:tcW w:w="26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8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from</w:t>
            </w:r>
          </w:p>
        </w:tc>
        <w:tc>
          <w:tcPr>
            <w:tcW w:w="14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Gain / (Loss)</w:t>
            </w:r>
          </w:p>
        </w:tc>
        <w:tc>
          <w:tcPr>
            <w:tcW w:w="112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1"/>
              </w:rPr>
              <w:t>Gain / (Loss)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9"/>
              </w:rPr>
              <w:t>reclassified in</w:t>
            </w:r>
          </w:p>
        </w:tc>
        <w:tc>
          <w:tcPr>
            <w:tcW w:w="112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 Topic 815 Cash Flow Hedging</w:t>
            </w: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OCI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OCI to</w:t>
            </w:r>
          </w:p>
        </w:tc>
        <w:tc>
          <w:tcPr>
            <w:tcW w:w="14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4"/>
        </w:trPr>
        <w:tc>
          <w:tcPr>
            <w:tcW w:w="4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rPr>
              <w:t>OCI on</w:t>
            </w:r>
          </w:p>
        </w:tc>
        <w:tc>
          <w:tcPr>
            <w:tcW w:w="14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3"/>
              </w:rPr>
              <w:t>Income</w:t>
            </w:r>
          </w:p>
        </w:tc>
        <w:tc>
          <w:tcPr>
            <w:tcW w:w="1420" w:type="dxa"/>
            <w:vAlign w:val="bottom"/>
          </w:tcPr>
          <w:p>
            <w:pPr>
              <w:jc w:val="center"/>
              <w:ind w:right="103"/>
              <w:spacing w:after="0" w:line="145" w:lineRule="exact"/>
              <w:rPr>
                <w:sz w:val="20"/>
                <w:szCs w:val="20"/>
                <w:color w:val="auto"/>
              </w:rPr>
            </w:pPr>
            <w:r>
              <w:rPr>
                <w:rFonts w:ascii="Arial" w:cs="Arial" w:eastAsia="Arial" w:hAnsi="Arial"/>
                <w:sz w:val="14"/>
                <w:szCs w:val="14"/>
                <w:b w:val="1"/>
                <w:bCs w:val="1"/>
                <w:color w:val="auto"/>
                <w:w w:val="89"/>
              </w:rPr>
              <w:t>(Expense)</w:t>
            </w:r>
          </w:p>
        </w:tc>
        <w:tc>
          <w:tcPr>
            <w:tcW w:w="260" w:type="dxa"/>
            <w:vAlign w:val="bottom"/>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(Expense)</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20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Derivatives</w:t>
            </w:r>
          </w:p>
        </w:tc>
        <w:tc>
          <w:tcPr>
            <w:tcW w:w="14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9"/>
              </w:rPr>
              <w:t>(Expense)</w:t>
            </w:r>
          </w:p>
        </w:tc>
        <w:tc>
          <w:tcPr>
            <w:tcW w:w="1420" w:type="dxa"/>
            <w:vAlign w:val="bottom"/>
          </w:tcPr>
          <w:p>
            <w:pPr>
              <w:jc w:val="center"/>
              <w:ind w:right="103"/>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1120" w:type="dxa"/>
            <w:vAlign w:val="bottom"/>
            <w:gridSpan w:val="3"/>
          </w:tcPr>
          <w:p>
            <w:pPr>
              <w:jc w:val="center"/>
              <w:ind w:left="38"/>
              <w:spacing w:after="0" w:line="129" w:lineRule="exact"/>
              <w:rPr>
                <w:sz w:val="20"/>
                <w:szCs w:val="20"/>
                <w:color w:val="auto"/>
              </w:rPr>
            </w:pPr>
            <w:r>
              <w:rPr>
                <w:rFonts w:ascii="Arial" w:cs="Arial" w:eastAsia="Arial" w:hAnsi="Arial"/>
                <w:sz w:val="14"/>
                <w:szCs w:val="14"/>
                <w:b w:val="1"/>
                <w:bCs w:val="1"/>
                <w:color w:val="auto"/>
                <w:w w:val="91"/>
              </w:rPr>
              <w:t>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80" w:type="dxa"/>
            <w:vAlign w:val="bottom"/>
            <w:gridSpan w:val="3"/>
          </w:tcPr>
          <w:p>
            <w:pPr>
              <w:jc w:val="center"/>
              <w:spacing w:after="0" w:line="110" w:lineRule="exact"/>
              <w:rPr>
                <w:sz w:val="20"/>
                <w:szCs w:val="20"/>
                <w:color w:val="auto"/>
              </w:rPr>
            </w:pPr>
            <w:r>
              <w:rPr>
                <w:rFonts w:ascii="Arial" w:cs="Arial" w:eastAsia="Arial" w:hAnsi="Arial"/>
                <w:sz w:val="12"/>
                <w:szCs w:val="12"/>
                <w:color w:val="auto"/>
              </w:rPr>
              <w:t>(Ineffective Portion/Amounts</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9"/>
              </w:rPr>
              <w:t>(Effective</w:t>
            </w: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(Effective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9"/>
              </w:rPr>
              <w:t>(Effective</w:t>
            </w:r>
          </w:p>
        </w:tc>
        <w:tc>
          <w:tcPr>
            <w:tcW w:w="1680" w:type="dxa"/>
            <w:vAlign w:val="bottom"/>
            <w:gridSpan w:val="2"/>
          </w:tcPr>
          <w:p>
            <w:pPr>
              <w:jc w:val="center"/>
              <w:ind w:left="723"/>
              <w:spacing w:after="0" w:line="149" w:lineRule="exact"/>
              <w:rPr>
                <w:sz w:val="20"/>
                <w:szCs w:val="20"/>
                <w:color w:val="auto"/>
              </w:rPr>
            </w:pPr>
            <w:r>
              <w:rPr>
                <w:rFonts w:ascii="Arial" w:cs="Arial" w:eastAsia="Arial" w:hAnsi="Arial"/>
                <w:sz w:val="14"/>
                <w:szCs w:val="14"/>
                <w:color w:val="auto"/>
                <w:w w:val="95"/>
              </w:rPr>
              <w:t>excluded from</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Portion)</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Portion)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Portion)</w:t>
            </w:r>
          </w:p>
        </w:tc>
        <w:tc>
          <w:tcPr>
            <w:tcW w:w="254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effectiveness testing)</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9"/>
              </w:rPr>
              <w:t>Interest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9"/>
              </w:rPr>
              <w:t>Interest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9"/>
              </w:rPr>
              <w:t>Interest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9"/>
              </w:rPr>
              <w:t>Interest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Information on the location and amounts of derivative fair values in the Condensed Consolidated Balance Sheets (in thousands):</w:t>
      </w: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19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6"/>
              </w:rPr>
              <w:t>September 30, 2021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3"/>
              </w:rPr>
              <w:t>December 31, 2020</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gridSpan w:val="2"/>
            <w:vMerge w:val="continue"/>
          </w:tcPr>
          <w:p>
            <w:pPr>
              <w:spacing w:after="0"/>
              <w:rPr>
                <w:sz w:val="13"/>
                <w:szCs w:val="13"/>
                <w:color w:val="auto"/>
              </w:rPr>
            </w:pPr>
          </w:p>
        </w:tc>
        <w:tc>
          <w:tcPr>
            <w:tcW w:w="19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19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3"/>
                <w:szCs w:val="13"/>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Interest-Rate Swap Contracts</w:t>
            </w:r>
          </w:p>
        </w:tc>
        <w:tc>
          <w:tcPr>
            <w:tcW w:w="14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Other Current</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Other Current</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7"/>
              </w:rPr>
              <w:t>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7"/>
              </w:rPr>
              <w:t>Liabilities</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estimated amount of pretax income as of September 30, 2021 that is expected to be reclassified from other comprehensive income into earnings within the next 12 months is $0.</w:t>
      </w:r>
    </w:p>
    <w:p>
      <w:pPr>
        <w:spacing w:after="0" w:line="31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92" w:lineRule="exact"/>
        <w:rPr>
          <w:sz w:val="20"/>
          <w:szCs w:val="20"/>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1—Inputs are observable quoted prices (unadjusted) in active markets for identical assets and liabilities.</w:t>
      </w:r>
    </w:p>
    <w:p>
      <w:pPr>
        <w:spacing w:after="0" w:line="130" w:lineRule="exact"/>
        <w:rPr>
          <w:rFonts w:ascii="Arial" w:cs="Arial" w:eastAsia="Arial" w:hAnsi="Arial"/>
          <w:sz w:val="18"/>
          <w:szCs w:val="18"/>
          <w:color w:val="auto"/>
        </w:rPr>
      </w:pPr>
    </w:p>
    <w:p>
      <w:pPr>
        <w:ind w:left="1540" w:right="180" w:hanging="439"/>
        <w:spacing w:after="0" w:line="26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3—Inputs are unobservable that are supported by little or no market activity.</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At September 30, 2021 and December 31, 2020, the Company carried the following financial assets (liabilities) at fair value measured on a recurring basis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Fair Value as of September 30, 2021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40" w:type="dxa"/>
            <w:vAlign w:val="bottom"/>
          </w:tcPr>
          <w:p>
            <w:pPr>
              <w:spacing w:after="0"/>
              <w:rPr>
                <w:sz w:val="13"/>
                <w:szCs w:val="13"/>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7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5"/>
              </w:rPr>
              <w:t>Fair Value as of December 31, 2020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40" w:type="dxa"/>
            <w:vAlign w:val="bottom"/>
          </w:tcPr>
          <w:p>
            <w:pPr>
              <w:spacing w:after="0"/>
              <w:rPr>
                <w:sz w:val="13"/>
                <w:szCs w:val="13"/>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7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0"/>
              </w:rPr>
              <w:t>$  (35)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w:t>
            </w:r>
          </w:p>
        </w:tc>
        <w:tc>
          <w:tcPr>
            <w:tcW w:w="7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40"/>
          </w:cols>
          <w:pgMar w:left="320" w:top="486"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fair value of interest-rate swap contracts are based on quoted prices for similar instruments from a commercial bank, and therefore, the fair value measurement is considered to be within Level 2.</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fair value of the contingent consideration liability was estimated by utilizing a probability weighted simulation model to determine the fair value of contingent consideration, and therefore, the fair value measurement is considered to be within Level 3.</w:t>
      </w:r>
    </w:p>
    <w:p>
      <w:pPr>
        <w:spacing w:after="0" w:line="17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2020, the Company incurred a $2.9 million contingent consideration liability related to the AmberLeaf acquisition. During the nine months ended September 30, 2021, the Company revalued the contingent consideration liability related to the AmberLeaf acquisition after determining that relevant conditions for payment of such liabilities were unlikely to be fully satisfied. The revaluation resulted in a $2.0 million reduction to the contingent consideration liability.</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following table provides information regarding changes in the Company’s contingent consideration liability for the periods ended September 30, 2021 and December 31, 2020.</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5"/>
              </w:rPr>
              <w:t>Twelve Months Ended</w:t>
            </w:r>
          </w:p>
        </w:tc>
      </w:tr>
      <w:tr>
        <w:trPr>
          <w:trHeight w:val="171"/>
        </w:trPr>
        <w:tc>
          <w:tcPr>
            <w:tcW w:w="476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2021</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December 31, 2020</w:t>
            </w:r>
          </w:p>
        </w:tc>
        <w:tc>
          <w:tcPr>
            <w:tcW w:w="40" w:type="dxa"/>
            <w:vAlign w:val="bottom"/>
          </w:tcPr>
          <w:p>
            <w:pPr>
              <w:spacing w:after="0"/>
              <w:rPr>
                <w:sz w:val="14"/>
                <w:szCs w:val="14"/>
                <w:color w:val="auto"/>
              </w:rPr>
            </w:pPr>
          </w:p>
        </w:tc>
      </w:tr>
      <w:tr>
        <w:trPr>
          <w:trHeight w:val="155"/>
        </w:trPr>
        <w:tc>
          <w:tcPr>
            <w:tcW w:w="4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40" w:type="dxa"/>
            <w:vAlign w:val="bottom"/>
            <w:gridSpan w:val="4"/>
          </w:tcPr>
          <w:p>
            <w:pPr>
              <w:jc w:val="right"/>
              <w:ind w:right="973"/>
              <w:spacing w:after="0" w:line="155" w:lineRule="exact"/>
              <w:rPr>
                <w:sz w:val="20"/>
                <w:szCs w:val="20"/>
                <w:color w:val="auto"/>
              </w:rPr>
            </w:pPr>
            <w:r>
              <w:rPr>
                <w:rFonts w:ascii="Arial" w:cs="Arial" w:eastAsia="Arial" w:hAnsi="Arial"/>
                <w:sz w:val="14"/>
                <w:szCs w:val="14"/>
                <w:b w:val="1"/>
                <w:bCs w:val="1"/>
                <w:color w:val="auto"/>
              </w:rPr>
              <w:t>(Amounts in thousands)</w:t>
            </w:r>
          </w:p>
        </w:tc>
        <w:tc>
          <w:tcPr>
            <w:tcW w:w="40" w:type="dxa"/>
            <w:vAlign w:val="bottom"/>
          </w:tcPr>
          <w:p>
            <w:pPr>
              <w:spacing w:after="0"/>
              <w:rPr>
                <w:sz w:val="13"/>
                <w:szCs w:val="13"/>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Contingent consideration liability incurred</w:t>
            </w:r>
          </w:p>
        </w:tc>
        <w:tc>
          <w:tcPr>
            <w:tcW w:w="42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2,882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Revaluations</w:t>
            </w:r>
          </w:p>
        </w:tc>
        <w:tc>
          <w:tcPr>
            <w:tcW w:w="420" w:type="dxa"/>
            <w:vAlign w:val="bottom"/>
          </w:tcPr>
          <w:p>
            <w:pPr>
              <w:spacing w:after="0"/>
              <w:rPr>
                <w:sz w:val="19"/>
                <w:szCs w:val="19"/>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4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purchases shares to satisfy employee tax obligations related to its Stock Incentive Plan. The Company did not purchase any shares during the nine months ended September 30, 2021 and 2020.</w:t>
      </w:r>
    </w:p>
    <w:p>
      <w:pPr>
        <w:spacing w:after="0" w:line="315"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and nine months ended September 30, 2021, there were 270,000 anti-dilutive stock options excluded from the computation of diluted earnings per share. For the three months and nine months ended September 30, 2020, there were no anti-dilutive stock options excluded from the computation of diluted earnings per share.</w:t>
      </w:r>
    </w:p>
    <w:p>
      <w:pPr>
        <w:spacing w:after="0" w:line="328"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11"/>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10"/>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3"/>
              </w:rPr>
              <w:t>(Amounts</w:t>
            </w:r>
          </w:p>
        </w:tc>
        <w:tc>
          <w:tcPr>
            <w:tcW w:w="480" w:type="dxa"/>
            <w:vAlign w:val="bottom"/>
            <w:gridSpan w:val="3"/>
          </w:tcPr>
          <w:p>
            <w:pPr>
              <w:jc w:val="right"/>
              <w:ind w:right="119"/>
              <w:spacing w:after="0" w:line="155"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480" w:type="dxa"/>
            <w:vAlign w:val="bottom"/>
            <w:gridSpan w:val="4"/>
          </w:tcPr>
          <w:p>
            <w:pPr>
              <w:jc w:val="right"/>
              <w:ind w:right="13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760" w:type="dxa"/>
            <w:vAlign w:val="bottom"/>
            <w:gridSpan w:val="4"/>
          </w:tcPr>
          <w:p>
            <w:pPr>
              <w:jc w:val="right"/>
              <w:ind w:right="108"/>
              <w:spacing w:after="0"/>
              <w:rPr>
                <w:sz w:val="20"/>
                <w:szCs w:val="20"/>
                <w:color w:val="auto"/>
              </w:rPr>
            </w:pPr>
            <w:r>
              <w:rPr>
                <w:rFonts w:ascii="Arial" w:cs="Arial" w:eastAsia="Arial" w:hAnsi="Arial"/>
                <w:sz w:val="18"/>
                <w:szCs w:val="18"/>
                <w:color w:val="auto"/>
                <w:w w:val="86"/>
              </w:rPr>
              <w:t>$10,523</w:t>
            </w: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4"/>
          </w:tcPr>
          <w:p>
            <w:pPr>
              <w:jc w:val="right"/>
              <w:ind w:right="220"/>
              <w:spacing w:after="0"/>
              <w:rPr>
                <w:sz w:val="20"/>
                <w:szCs w:val="20"/>
                <w:color w:val="auto"/>
              </w:rPr>
            </w:pPr>
            <w:r>
              <w:rPr>
                <w:rFonts w:ascii="Arial" w:cs="Arial" w:eastAsia="Arial" w:hAnsi="Arial"/>
                <w:sz w:val="18"/>
                <w:szCs w:val="18"/>
                <w:color w:val="auto"/>
              </w:rPr>
              <w:t>7,176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jc w:val="right"/>
              <w:ind w:right="188"/>
              <w:spacing w:after="0"/>
              <w:rPr>
                <w:sz w:val="20"/>
                <w:szCs w:val="20"/>
                <w:color w:val="auto"/>
              </w:rPr>
            </w:pPr>
            <w:r>
              <w:rPr>
                <w:rFonts w:ascii="Arial" w:cs="Arial" w:eastAsia="Arial" w:hAnsi="Arial"/>
                <w:sz w:val="18"/>
                <w:szCs w:val="18"/>
                <w:color w:val="auto"/>
              </w:rPr>
              <w:t>28,267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21,308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87"/>
              </w:rPr>
              <w:t>49,008</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7"/>
              </w:rPr>
              <w:t>40,207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89"/>
              </w:rPr>
              <w:t>134,697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124,083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2"/>
              </w:rPr>
              <w:t>$ 47,383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162,964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145,391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w w:val="86"/>
              </w:rPr>
              <w:t>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6"/>
              </w:rPr>
              <w:t>22.4%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gross margin %</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w w:val="86"/>
              </w:rPr>
              <w:t>26.8%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08"/>
              <w:spacing w:after="0"/>
              <w:rPr>
                <w:sz w:val="20"/>
                <w:szCs w:val="20"/>
                <w:color w:val="auto"/>
              </w:rPr>
            </w:pPr>
            <w:r>
              <w:rPr>
                <w:rFonts w:ascii="Arial" w:cs="Arial" w:eastAsia="Arial" w:hAnsi="Arial"/>
                <w:sz w:val="18"/>
                <w:szCs w:val="18"/>
                <w:color w:val="auto"/>
              </w:rPr>
              <w:t>1,851</w:t>
            </w: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4"/>
          </w:tcPr>
          <w:p>
            <w:pPr>
              <w:jc w:val="right"/>
              <w:ind w:right="220"/>
              <w:spacing w:after="0"/>
              <w:rPr>
                <w:sz w:val="20"/>
                <w:szCs w:val="20"/>
                <w:color w:val="auto"/>
              </w:rPr>
            </w:pPr>
            <w:r>
              <w:rPr>
                <w:rFonts w:ascii="Arial" w:cs="Arial" w:eastAsia="Arial" w:hAnsi="Arial"/>
                <w:sz w:val="18"/>
                <w:szCs w:val="18"/>
                <w:color w:val="auto"/>
              </w:rPr>
              <w:t>1,579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jc w:val="right"/>
              <w:ind w:right="188"/>
              <w:spacing w:after="0"/>
              <w:rPr>
                <w:sz w:val="20"/>
                <w:szCs w:val="20"/>
                <w:color w:val="auto"/>
              </w:rPr>
            </w:pPr>
            <w:r>
              <w:rPr>
                <w:rFonts w:ascii="Arial" w:cs="Arial" w:eastAsia="Arial" w:hAnsi="Arial"/>
                <w:sz w:val="18"/>
                <w:szCs w:val="18"/>
                <w:color w:val="auto"/>
              </w:rPr>
              <w:t>3,014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3,916</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Subtotal</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5,767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4,873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12,551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12,305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Revaluation of contingent consideration liability</w:t>
            </w:r>
          </w:p>
        </w:tc>
        <w:tc>
          <w:tcPr>
            <w:tcW w:w="80" w:type="dxa"/>
            <w:vAlign w:val="bottom"/>
          </w:tcPr>
          <w:p>
            <w:pPr>
              <w:spacing w:after="0"/>
              <w:rPr>
                <w:sz w:val="18"/>
                <w:szCs w:val="18"/>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4"/>
          </w:tcPr>
          <w:p>
            <w:pPr>
              <w:jc w:val="right"/>
              <w:ind w:right="188"/>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expenses and other, net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85"/>
              </w:rPr>
              <w:t>(611)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4,740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9,733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7"/>
              </w:rPr>
              <w:t>Below is a reconciliation of segment total assets to consolidated total assets:</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8"/>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2"/>
          </w:tcPr>
          <w:p>
            <w:pPr>
              <w:ind w:left="220"/>
              <w:spacing w:after="0" w:line="155" w:lineRule="exact"/>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180"/>
              <w:spacing w:after="0"/>
              <w:rPr>
                <w:sz w:val="20"/>
                <w:szCs w:val="20"/>
                <w:color w:val="auto"/>
              </w:rPr>
            </w:pPr>
            <w:r>
              <w:rPr>
                <w:rFonts w:ascii="Arial" w:cs="Arial" w:eastAsia="Arial" w:hAnsi="Arial"/>
                <w:sz w:val="18"/>
                <w:szCs w:val="18"/>
                <w:color w:val="auto"/>
              </w:rPr>
              <w:t>58,356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55,792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56,726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46,254</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115,082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102,046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1"/>
              </w:rPr>
              <w:t>Below is geographic information related to our revenues from external customers: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11"/>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ind w:left="50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4"/>
              </w:rPr>
              <w:t>(Amounts</w:t>
            </w:r>
          </w:p>
        </w:tc>
        <w:tc>
          <w:tcPr>
            <w:tcW w:w="3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5"/>
              </w:rPr>
              <w:t>(Amounts</w:t>
            </w:r>
          </w:p>
        </w:tc>
        <w:tc>
          <w:tcPr>
            <w:tcW w:w="34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74"/>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$ 57,682</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46,445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86"/>
              </w:rPr>
              <w:t>157,156</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$142,572</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988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color w:val="auto"/>
              </w:rPr>
              <w:t>3,270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2,538</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$ 59,531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47,383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162,964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third quarter of 2021, we purchased cybersecurity software licenses from CrowdStrike, Inc. for $98,000. One of our Board members is a Board member of CrowdStrike Inc. The purchase was completed as an arm’s length transaction.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060" w:hanging="444"/>
        <w:spacing w:after="0" w:line="453" w:lineRule="auto"/>
        <w:tabs>
          <w:tab w:leader="none" w:pos="552"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Recently Issued Accounting Standards </w:t>
      </w:r>
      <w:r>
        <w:rPr>
          <w:rFonts w:ascii="Arial" w:cs="Arial" w:eastAsia="Arial" w:hAnsi="Arial"/>
          <w:sz w:val="15"/>
          <w:szCs w:val="15"/>
          <w:b w:val="1"/>
          <w:bCs w:val="1"/>
          <w:i w:val="1"/>
          <w:iCs w:val="1"/>
          <w:color w:val="auto"/>
        </w:rPr>
        <w:t>Recently Adopted Accounting Pronouncements</w:t>
      </w:r>
    </w:p>
    <w:p>
      <w:pPr>
        <w:spacing w:after="0" w:line="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2019, the FASB issued ASU 2019-12, “Income Taxes (Topic 740)”. The amendments in this ASU simplify the accounting for income taxes by removing certain exceptions to the general principles in Topic 740 and by clarifying and amending other areas of Topic 740. The amendments in this ASU are effective for annual and interim periods beginning after December 15, 2020. We adopted this ASU on January 1, 2021 with no material impact on our consolidated financial statements.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The amendments in this ASU provide optional guidance to ease the burden in accounting for contract modifications associated with the cessation of interbank offered rates, particularly LIBOR, as a result of reference rate reform. The amendments in this ASU are effective for annual and interim periods from the beginning of an interim period that includes or is subsequent to March 12, 2020, or prospectively from a date within an interim period that includes or is subsequent to March 12, 2020 through December 31, 2022. We adopted this ASU on January 1, 2021 with no material impact on our consolidated financial statements.</w:t>
      </w:r>
    </w:p>
    <w:p>
      <w:pPr>
        <w:spacing w:after="0" w:line="16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You should read the following discussion in conjunction with our audited consolidated financial statements and accompanying notes for the year ended December 31, 2020, included in our Annual Report on Form 10-K, filed with the Securities and Exchange Commission (“SEC”) on March 16,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2020.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Website Access to SEC Reports: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The Company’s website is </w:t>
      </w:r>
      <w:r>
        <w:rPr>
          <w:rFonts w:ascii="Arial" w:cs="Arial" w:eastAsia="Arial" w:hAnsi="Arial"/>
          <w:sz w:val="18"/>
          <w:szCs w:val="18"/>
          <w:u w:val="single" w:color="auto"/>
          <w:color w:val="auto"/>
        </w:rPr>
        <w:t>www.mastechdigital.com</w:t>
      </w:r>
      <w:r>
        <w:rPr>
          <w:rFonts w:ascii="Arial" w:cs="Arial" w:eastAsia="Arial" w:hAnsi="Arial"/>
          <w:sz w:val="18"/>
          <w:szCs w:val="18"/>
          <w:color w:val="auto"/>
        </w:rPr>
        <w:t>. The Company’s Annual Report on Form 10-K for the year ended December 31, 2020, current reports on Form 8-K and all other reports filed with the SEC, are available free of charge on the Investors page. The website is updated as soon as reasonably practical after such reports are filed electronically with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nine months ended September 30, 2021.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and Analytics: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Trends and Outlook:</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We are encouraged by the global roll-out of vaccination programs and signs of economic expansion in 2021. While there is still uncertainty in the global markets relating to the pandemic and its impact on market conditions, we are hopeful that economic conditions will continue to improve during fourth quarter and the 2022 fiscal year will prove to be a healthy macro-economic environment in our key markets.</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2020).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MSP’s to manage their contractor spending. Both of these dynamics may pressure our IT staffing gross margins in the future.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Within our Data and Analytics Services segment many customers are satisfying their D&amp;A needs using a holistic approach. This often results in the customer using one vendor partner rather than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D&amp;A and effectively address such needs.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Results of Operations for the Three Months Ended September 30, 2021 as Compared to the Three Months Ended September 30,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Revenues for the three months ended September 30, 2021 totaled $59.5 million compared to $47.4 million for the corresponding three month period in 2020. This 26% year-over-year revenue increase reflected a 22% increase in our IT staffing services segment and a 47% increase in our data and analytics services segment, of which 19% was organic growth. For the three months ended September 30, 2021, the Company had two clients that had revenues in excess of 10% of total revenues (CGI = 14.6% and Accenture 10.4%). For the three months ended September 30, 2020, the Company had one client that had revenues in excess of 10% of total revenues (CGI = 16.6%). The Company’s top ten clients represented approximately 49% and 51% of total revenues for the three months ended September 30, 2021 and 2020, respectively.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revenues by reportable segment for the three months ended September 30, 2021 and 2020,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(Amounts in millions)</w:t>
            </w:r>
          </w:p>
        </w:tc>
        <w:tc>
          <w:tcPr>
            <w:tcW w:w="1360" w:type="dxa"/>
            <w:vAlign w:val="bottom"/>
          </w:tcPr>
          <w:p>
            <w:pPr>
              <w:spacing w:after="0"/>
              <w:rPr>
                <w:sz w:val="14"/>
                <w:szCs w:val="14"/>
                <w:color w:val="auto"/>
              </w:rPr>
            </w:pPr>
          </w:p>
        </w:tc>
        <w:tc>
          <w:tcPr>
            <w:tcW w:w="17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4"/>
        </w:trPr>
        <w:tc>
          <w:tcPr>
            <w:tcW w:w="34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78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September 30, 2021</w:t>
            </w:r>
          </w:p>
        </w:tc>
        <w:tc>
          <w:tcPr>
            <w:tcW w:w="460" w:type="dxa"/>
            <w:vAlign w:val="bottom"/>
          </w:tcPr>
          <w:p>
            <w:pPr>
              <w:spacing w:after="0"/>
              <w:rPr>
                <w:sz w:val="12"/>
                <w:szCs w:val="12"/>
                <w:color w:val="auto"/>
              </w:rPr>
            </w:pPr>
          </w:p>
        </w:tc>
        <w:tc>
          <w:tcPr>
            <w:tcW w:w="136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w w:val="97"/>
              </w:rPr>
              <w:t>September 30, 2020</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Data and Analytics Services</w:t>
            </w:r>
          </w:p>
        </w:tc>
        <w:tc>
          <w:tcPr>
            <w:tcW w:w="13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2"/>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9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Revenues from our Data and Analytics Services segment totaled $10.5 million in the quarter ended September 30, 2021, compared to $7.2 million in the corresponding quarter last year. This increase in revenues reflected $1.9 million related to our AmberLeaf acquisition and $1.4 million in organic growth. Strong bookings over the last three quarters have favorably impacted our revenue performance in the current quarter.</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Revenues from our IT Staffing Services segment totaled $49.0 million in the three months ended September 30, 2021 compared to $40.2 million during the corresponding 2020 period. This 22% increase reflected a higher level of consultants-on-billing, partially offset by a lower average bill rate in the third quarter of 2021 when compared to the corresponding 2020 quarter. Billable consultant headcount at September 30, 2021 totaled</w:t>
      </w:r>
    </w:p>
    <w:p>
      <w:pPr>
        <w:spacing w:after="0" w:line="2"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1,317-consultants compared to 1,037-consultants one-year earlier. The increase in billable consultants over the last 12-month period (a 27% increase) reflected strong activity levels during the first nine months of 2021. Our average bill rate decreased to $75.51 per hour during the third quarter of 2021 compared to $76.33 per hour in the corresponding 2020 quarter. The decline in average bill rate was due to lower rates on new assignments and was reflective of the types of skill-sets that we deployed. Permanent placement / fee revenues were approximately $0.3 million during the quarter, which were $0.1 million higher than permanent placement / fee revenues of a year ago.</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Gross profits in the third quarter of 2021 totaled $16.6 million, exceeding third quarter of 2020 gross profits by approximately $3.5 million and reflected our higher revenue performance. Gross profit as a percentage of revenue was 27.9% for the three month period ended September 30, 2021 compared to 27.6% during the same period of 2020. This 30-basis point improvement largely resulted from higher gross margins in our IT Staffing Services segment.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tabular presentation of gross margin by reporting segment for the three months ended September 30, 2021 and 2020, respectively:</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23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4"/>
        </w:trPr>
        <w:tc>
          <w:tcPr>
            <w:tcW w:w="4480" w:type="dxa"/>
            <w:vAlign w:val="bottom"/>
            <w:gridSpan w:val="2"/>
            <w:vMerge w:val="continue"/>
          </w:tcPr>
          <w:p>
            <w:pPr>
              <w:spacing w:after="0"/>
              <w:rPr>
                <w:sz w:val="12"/>
                <w:szCs w:val="12"/>
                <w:color w:val="auto"/>
              </w:rPr>
            </w:pPr>
          </w:p>
        </w:tc>
        <w:tc>
          <w:tcPr>
            <w:tcW w:w="2380" w:type="dxa"/>
            <w:vAlign w:val="bottom"/>
            <w:gridSpan w:val="2"/>
          </w:tcPr>
          <w:p>
            <w:pPr>
              <w:jc w:val="center"/>
              <w:ind w:right="1060"/>
              <w:spacing w:after="0" w:line="125" w:lineRule="exact"/>
              <w:rPr>
                <w:sz w:val="20"/>
                <w:szCs w:val="20"/>
                <w:color w:val="auto"/>
              </w:rPr>
            </w:pPr>
            <w:r>
              <w:rPr>
                <w:rFonts w:ascii="Arial" w:cs="Arial" w:eastAsia="Arial" w:hAnsi="Arial"/>
                <w:sz w:val="14"/>
                <w:szCs w:val="14"/>
                <w:b w:val="1"/>
                <w:bCs w:val="1"/>
                <w:color w:val="auto"/>
                <w:w w:val="91"/>
              </w:rPr>
              <w:t>September 30, 2021</w:t>
            </w:r>
          </w:p>
        </w:tc>
        <w:tc>
          <w:tcPr>
            <w:tcW w:w="150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Data and Analytics Services</w:t>
            </w:r>
          </w:p>
        </w:tc>
        <w:tc>
          <w:tcPr>
            <w:tcW w:w="238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51.6%</w:t>
            </w:r>
          </w:p>
        </w:tc>
        <w:tc>
          <w:tcPr>
            <w:tcW w:w="1500" w:type="dxa"/>
            <w:vAlign w:val="bottom"/>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w w:val="93"/>
              </w:rPr>
              <w:t>55.9%</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20" w:type="dxa"/>
            <w:vAlign w:val="bottom"/>
          </w:tcPr>
          <w:p>
            <w:pPr>
              <w:ind w:left="1000"/>
              <w:spacing w:after="0"/>
              <w:rPr>
                <w:sz w:val="20"/>
                <w:szCs w:val="20"/>
                <w:color w:val="auto"/>
              </w:rPr>
            </w:pPr>
            <w:r>
              <w:rPr>
                <w:rFonts w:ascii="Arial" w:cs="Arial" w:eastAsia="Arial" w:hAnsi="Arial"/>
                <w:sz w:val="18"/>
                <w:szCs w:val="18"/>
                <w:color w:val="auto"/>
                <w:w w:val="85"/>
              </w:rPr>
              <w:t>22.8</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27.9%</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3"/>
              </w:rPr>
              <w:t>27.6%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Gross margins from our Data and Analytics Services segment were 51.6% of revenues during the third quarter of 2021, which was below our record gross margin performance in the third quarter of 2020. While gross margins were still very strong in the current quarter, the year-over-year decline was largely due to the consolidation of AmberLeaf, which has a lower margin profile compared to our core data and analytics business.</w:t>
      </w:r>
    </w:p>
    <w:p>
      <w:pPr>
        <w:spacing w:after="0" w:line="14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Gross margins from our IT Staffing Services segment were 22.8% in the third quarter of 2021 compared to 22.6% during the corresponding quarter of 2020. This 20-basis point improvement was due to higher direct hire fees in the current quarter compared to the third quarter of 2020.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Below is a tabular presentation of operating expenses by sales, operations, amortization of acquired intangible assets and general and administrative categories for the three months ended September 30, 2021 and 2020, respectively:</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00" w:type="dxa"/>
            <w:vAlign w:val="bottom"/>
          </w:tcPr>
          <w:p>
            <w:pPr>
              <w:spacing w:after="0"/>
              <w:rPr>
                <w:sz w:val="14"/>
                <w:szCs w:val="1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September 30, 2021</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September 30, 2020</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Data and Analytics Services Segment</w:t>
            </w: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1040" w:type="dxa"/>
            <w:vAlign w:val="bottom"/>
            <w:gridSpan w:val="3"/>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78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Data and Analytics Services</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IT Staffing Services Segment</w:t>
            </w:r>
          </w:p>
        </w:tc>
        <w:tc>
          <w:tcPr>
            <w:tcW w:w="25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040" w:type="dxa"/>
            <w:vAlign w:val="bottom"/>
            <w:gridSpan w:val="3"/>
          </w:tcPr>
          <w:p>
            <w:pPr>
              <w:jc w:val="right"/>
              <w:ind w:right="48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78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IT Staffing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48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S,G&amp;A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11.6</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S,G&amp;A expenses for the three months ended September 30, 2021 totaled $11.6 million, compared to $8.9 million for the three months ended September 30, 2020. Excluding the amortization of acquired intangible assets in both periods, S,G&amp;A expense as a percentage of total revenues was 18.2% and 17.3%, respectively. The lower S,G&amp;A expense as a percentage of total revenues in 2020 reflected austerity measures implemented due to the pandemic. Fluctuations within S,G&amp;A expense components during the third quarter of 2021, compared to the third quarter of 2020, included the following:</w:t>
      </w:r>
    </w:p>
    <w:p>
      <w:pPr>
        <w:spacing w:after="0" w:line="93" w:lineRule="exact"/>
        <w:rPr>
          <w:sz w:val="20"/>
          <w:szCs w:val="20"/>
          <w:color w:val="auto"/>
        </w:rPr>
      </w:pPr>
    </w:p>
    <w:p>
      <w:pPr>
        <w:ind w:left="108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expense increased by $0.7 million in the 2021 period compared to the corresponding 2020 period. Approximately $0.1 million reflected AmberLeaf sales expense; $0.2 million was staff expansion in our Data and Analytics Services segment and $0.4 million was due to austerity measures implemented by our IT Staffing Services segment in the 2020 period, which have been unwound in 2021.</w:t>
      </w:r>
    </w:p>
    <w:p>
      <w:pPr>
        <w:spacing w:after="0" w:line="54"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Operations expense increased $0.5 million in the 2021 period compared to the corresponding 2020 period. Approximately $0.1 million related to investments made to the delivery organization of our Data and Analytics Services segment. Operations expense in our IT Staffing Services segment increased by $0.4 million and related to increases in recruitment staff and higher variable expenses – both due to supporting higher activity levels in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acquired intangible assets was $0.1 million higher in the 2021 period due to the AmberLeaf acquisition.</w:t>
      </w:r>
    </w:p>
    <w:p>
      <w:pPr>
        <w:spacing w:after="0" w:line="13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administrative expense increased by $1.4 million in the 2021 period compared to the corresponding 2020 period. General and administrative expense in our Data and Analytics Services segment increased by $0.8 million due to executive leadership staff increases and higher stock-based compensation expense. In our IT Staffing Services segment, higher stock-based compensation expense and additional administrative staff (as compared to the austerity-impacted levels of 2020) were responsible for a $0.6 million increase from 2020.</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Other Income / (Expense) for the three months ended September 30, 2021 consisted of interest expense of ($169,000) and foreign exchange losses of ($66,000). For the three months ended September 30, 2020, Other Income / (Expense) consisted of interest expense of ($164,000) and foreign exchange losses of ($27,000).</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Income tax expense for the three months ended September 30, 2021 totaled $1.3 million, representing an effective tax rate on pre-tax income of 28.1% compared to $1.0 million for the three months ended September 30, 2020, which represented a 25.5% effective tax rate on pre-tax income. The higher effective tax rate in the 2021 period largely reflected a lower aggregate state income tax rate and an increase in our valuation allowance.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Results of Operations for the Nine Months Ended September 30, 2021 as Compared to the Nine Months Ended September 30,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Revenues for the nine months ended September 30, 2021 totaled $163.0 million compared to $145.4 million for the corresponding nine month period in 2020. This 12.1% year-over-year revenue increase reflected a 8.6% increase in our IT staffing services segment and a 32.7% increase in our data and analytics services segment, which represented approximately 6% of organic growth when excluding the AmberLeaf acquisition. For the nine months ended September 30, 2021, the Company had one client that had revenues in excess of 10% of total revenues (CGI = 14.8%). For the nine months ended September 30, 2020, the Company had the same one client that had revenues in excess of 10% of total revenues (CGI = 14.8%). The Company’s top ten clients represented approximately 48% and 48% of total revenues for the nine months ended September 30, 2021 and 2020, respectively.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revenues by reportable segment for the nine months ended September 30, 2021 and 2020,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(Amounts in millions)</w:t>
            </w:r>
          </w:p>
        </w:tc>
        <w:tc>
          <w:tcPr>
            <w:tcW w:w="146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4"/>
        </w:trPr>
        <w:tc>
          <w:tcPr>
            <w:tcW w:w="350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2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September 30, 2021</w:t>
            </w:r>
          </w:p>
        </w:tc>
        <w:tc>
          <w:tcPr>
            <w:tcW w:w="12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Data and Analytics Services</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9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163.0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Revenues from our Data and Analytics Services segment totaled $28.3 million during the nine months ended September 30, 2021, compared to $21.3 million in the corresponding nine-month period last year. Excluding revenues from the AmberLeaf acquisition, organic revenues were 6% higher compared the nine months of 2020. Project delays impacted 2021 revenues during the first half of the year; however, during the third quarter this situation improved significantly. Bookings fared well during the nine months of 2021 totaling approximately $40 million which are significantly above bookings secured in the nine-month period of 2020.</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Revenues from our IT Staffing Services segment totaled $134.7 million in the nine months ended September 30, 2021 compared to $124.1 million during the corresponding 2020 period. This 8.6% increase reflected a higher level of billable consultants, partially offset by a lower average bill rate during the first nine months of 2021, when compared to the corresponding 2020 period. Billable consultants increased by 254-consultants during the first nine months of 2021 versus a decline of 130-consultants during the nine months ended September 30, 2020. Permanent placement / fee revenues were approximately $0.7 million during the nine months of 2021, which were up $0.2 million from the corresponding 2020 period.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Gross profits in the nine months ended September 30, 2021 totaled $43.7 million, compared to $38.5 million during the corresponding 2020 period, an increase of $5.2 million. Gross profit as a percentage of revenue was 26.8% for the nine month period ended September 30, 2021 compared to 26.5% during the same period of 2020. This 30-basis point improvement reflected higher gross margins in the IT Staffing Services segment and a favorably mix of revenues between our two operating segments.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tabular presentation of gross margin by reporting segment for the nine months ended September 30, 2021 and 2020, respectively:</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22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3"/>
              </w:rPr>
              <w:t>Nine Months Ended</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4"/>
        </w:trPr>
        <w:tc>
          <w:tcPr>
            <w:tcW w:w="4640" w:type="dxa"/>
            <w:vAlign w:val="bottom"/>
            <w:gridSpan w:val="2"/>
            <w:vMerge w:val="continue"/>
          </w:tcPr>
          <w:p>
            <w:pPr>
              <w:spacing w:after="0"/>
              <w:rPr>
                <w:sz w:val="12"/>
                <w:szCs w:val="12"/>
                <w:color w:val="auto"/>
              </w:rPr>
            </w:pPr>
          </w:p>
        </w:tc>
        <w:tc>
          <w:tcPr>
            <w:tcW w:w="2280" w:type="dxa"/>
            <w:vAlign w:val="bottom"/>
            <w:gridSpan w:val="2"/>
          </w:tcPr>
          <w:p>
            <w:pPr>
              <w:jc w:val="right"/>
              <w:ind w:right="1060"/>
              <w:spacing w:after="0" w:line="125" w:lineRule="exact"/>
              <w:rPr>
                <w:sz w:val="20"/>
                <w:szCs w:val="20"/>
                <w:color w:val="auto"/>
              </w:rPr>
            </w:pPr>
            <w:r>
              <w:rPr>
                <w:rFonts w:ascii="Arial" w:cs="Arial" w:eastAsia="Arial" w:hAnsi="Arial"/>
                <w:sz w:val="14"/>
                <w:szCs w:val="14"/>
                <w:b w:val="1"/>
                <w:bCs w:val="1"/>
                <w:color w:val="auto"/>
                <w:w w:val="91"/>
              </w:rPr>
              <w:t>September 30, 2021</w:t>
            </w:r>
          </w:p>
        </w:tc>
        <w:tc>
          <w:tcPr>
            <w:tcW w:w="144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Data and Analytics Services</w:t>
            </w:r>
          </w:p>
        </w:tc>
        <w:tc>
          <w:tcPr>
            <w:tcW w:w="2280" w:type="dxa"/>
            <w:vAlign w:val="bottom"/>
            <w:gridSpan w:val="2"/>
            <w:shd w:val="clear" w:color="auto" w:fill="CCEEFF"/>
          </w:tcPr>
          <w:p>
            <w:pPr>
              <w:jc w:val="right"/>
              <w:ind w:right="880"/>
              <w:spacing w:after="0" w:line="196" w:lineRule="exact"/>
              <w:rPr>
                <w:sz w:val="20"/>
                <w:szCs w:val="20"/>
                <w:color w:val="auto"/>
              </w:rPr>
            </w:pPr>
            <w:r>
              <w:rPr>
                <w:rFonts w:ascii="Arial" w:cs="Arial" w:eastAsia="Arial" w:hAnsi="Arial"/>
                <w:sz w:val="18"/>
                <w:szCs w:val="18"/>
                <w:color w:val="auto"/>
              </w:rPr>
              <w:t>48.2%</w:t>
            </w:r>
          </w:p>
        </w:tc>
        <w:tc>
          <w:tcPr>
            <w:tcW w:w="14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22.4%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26.8%</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Gross margins from our Data and Analytics Services segment were 48.2% of revenues during the nine month period ended September 30,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compared to gross margins of 51.7% in the corresponding period of 2020. The margin decline reflects a lower margin profile in our acquired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AmberLeaf business, which was acquired in the fourth quarter of 2020.</w:t>
      </w:r>
    </w:p>
    <w:p>
      <w:pPr>
        <w:spacing w:after="0" w:line="21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Gross margins from our IT Staffing Services segment were 22.4% in the nine months ended September 30, 2021 compared to 22.1% during the corresponding period of 2020. This 30-basis point expansion was due to better gross margins on new assignments secured during the last several quarters.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Below is a tabular presentation of operating expenses by sales, operations, amortization of acquired intangible assets, revaluation of contingent consideration and general and administrative categories for the nine months ended September 30, 2021 and 2020, respectively:</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6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4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2021</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Data and Analytics Services Segment</w:t>
            </w: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Contingent Consideration</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General &amp; Administrative</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Subtotal Data and Analytics Services</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IT Staffing Services Segment</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gridSpan w:val="2"/>
          </w:tcPr>
          <w:p>
            <w:pPr>
              <w:jc w:val="right"/>
              <w:ind w:right="388"/>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920" w:type="dxa"/>
            <w:vAlign w:val="bottom"/>
            <w:gridSpan w:val="3"/>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94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Subtotal IT Staffing Services</w:t>
            </w:r>
          </w:p>
        </w:tc>
        <w:tc>
          <w:tcPr>
            <w:tcW w:w="560" w:type="dxa"/>
            <w:vAlign w:val="bottom"/>
            <w:tcBorders>
              <w:top w:val="single" w:sz="8" w:color="auto"/>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S,G&amp;A Expenses</w:t>
            </w:r>
          </w:p>
        </w:tc>
        <w:tc>
          <w:tcPr>
            <w:tcW w:w="5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S,G,&amp;A expenses for the nine months ended September 30, 2021 totaled $31.6 million or 19.4% of total revenues, compared to $28.2 million or 19.4% of total revenues for the nine months ended September 30, 2020. Excluding the revaluation of contingent consideration in the 2021 period and the amortization of acquired intangible assets in both periods, S,G,&amp;A expense as a percentage of total revenues would have been 19.1% and 18.0%, respectively. Fluctuations within S,G,&amp;A expense components during the first nine months of 2021, compared to the first nine months of 2020, included the following: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expense increased by $1.4 million in the 2021 period compared to the corresponding 2020 period. Sales expense of</w:t>
      </w:r>
    </w:p>
    <w:p>
      <w:pPr>
        <w:spacing w:after="0" w:line="34" w:lineRule="exact"/>
        <w:rPr>
          <w:rFonts w:ascii="Arial" w:cs="Arial" w:eastAsia="Arial" w:hAnsi="Arial"/>
          <w:sz w:val="17"/>
          <w:szCs w:val="17"/>
          <w:color w:val="auto"/>
        </w:rPr>
      </w:pPr>
    </w:p>
    <w:p>
      <w:pPr>
        <w:ind w:left="1540" w:right="500"/>
        <w:spacing w:after="0" w:line="277" w:lineRule="auto"/>
        <w:rPr>
          <w:rFonts w:ascii="Arial" w:cs="Arial" w:eastAsia="Arial" w:hAnsi="Arial"/>
          <w:sz w:val="17"/>
          <w:szCs w:val="17"/>
          <w:color w:val="auto"/>
        </w:rPr>
      </w:pPr>
      <w:r>
        <w:rPr>
          <w:rFonts w:ascii="Arial" w:cs="Arial" w:eastAsia="Arial" w:hAnsi="Arial"/>
          <w:sz w:val="17"/>
          <w:szCs w:val="17"/>
          <w:color w:val="auto"/>
        </w:rPr>
        <w:t>$1.0 million reflected investments in the sales organization of our Data and Analytics Services segment, of which $0.6 million pertained to the AmberLeaf acquisition. Sales expense in our IT Staffing Services segment was higher by $0.4 million due to austerity measures implemented in the 2020 period, which have been unwound in 2021.</w:t>
      </w:r>
    </w:p>
    <w:p>
      <w:pPr>
        <w:spacing w:after="0" w:line="78" w:lineRule="exact"/>
        <w:rPr>
          <w:rFonts w:ascii="Arial" w:cs="Arial" w:eastAsia="Arial" w:hAnsi="Arial"/>
          <w:sz w:val="17"/>
          <w:szCs w:val="17"/>
          <w:color w:val="auto"/>
        </w:rPr>
      </w:pPr>
    </w:p>
    <w:p>
      <w:pPr>
        <w:ind w:left="1540" w:right="380" w:hanging="439"/>
        <w:spacing w:after="0" w:line="301" w:lineRule="auto"/>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Operations expense increased by $1.0 million in the 2021 period compared to the corresponding 2020 period. Approximately $0.8 million reflected investments made to the delivery organization of our Data and Analytics Services segment, including the AmberLeaf acquisition. Operations expense in our IT Staffing Services segment increased by $0.2 million and largely related to increases in recruitment staff and other variable expenses – both due to higher activity levels in 2021.</w:t>
      </w:r>
    </w:p>
    <w:p>
      <w:pPr>
        <w:spacing w:after="0" w:line="62" w:lineRule="exact"/>
        <w:rPr>
          <w:rFonts w:ascii="Arial" w:cs="Arial" w:eastAsia="Arial" w:hAnsi="Arial"/>
          <w:sz w:val="16"/>
          <w:szCs w:val="16"/>
          <w:color w:val="auto"/>
        </w:rPr>
      </w:pPr>
    </w:p>
    <w:p>
      <w:pPr>
        <w:ind w:left="1540" w:hanging="43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acquired intangible assets was $0.3 million higher in the 2021 period due to the AmberLeaf acquisition.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Revaluation of contingent consideration totaled a credit of $2.0 million in the 2021 period and related to the AmberLeaf acquisition.</w:t>
      </w:r>
    </w:p>
    <w:p>
      <w:pPr>
        <w:spacing w:after="0" w:line="153" w:lineRule="exact"/>
        <w:rPr>
          <w:rFonts w:ascii="Arial" w:cs="Arial" w:eastAsia="Arial" w:hAnsi="Arial"/>
          <w:sz w:val="16"/>
          <w:szCs w:val="16"/>
          <w:color w:val="auto"/>
        </w:rPr>
      </w:pPr>
    </w:p>
    <w:p>
      <w:pPr>
        <w:ind w:left="1540" w:right="300" w:hanging="439"/>
        <w:spacing w:after="0" w:line="25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administrative expense increased by $2.7 million in the 2021 period compared to the corresponding 2020 period. General and administrative expense in our Data and Analytics Services segment increased by $1.6 million due to executive leadership staff increases and higher stock-based compensation expense. In our IT Staffing Services segment, higher stock-based compensation expense and additional administrative staff (from the austerity-impacted levels of 2020) were responsible for a $1.1 million increase from 2020.</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Other Income / (Expense) for the nine months ended September 30, 2021 consisted of interest expense of ($523,000) and foreign exchange losses of ($88,000). For the nine months ended September 30, 2020, Other Income / (Expense) consisted of interest expense of ($641,000) and foreign exchange gains of $67,000. The lower level of interest expense was reflective of debt payments in 2021 and 2020.</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Income tax expense for the nine months ended September 30, 2021 totaled $3.2 million, representing an effective tax rate on pre-tax income of 27.8% compared to $1.9 million for the nine months ended September 30, 2020, which represented a 19.5% effective tax rate on pre-tax income. The lower effective tax rate in the 2020 period largely reflected excess tax benefits related to the exercise of stock options and the vesting of restricted share units.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Conditions and Liquidity:</w:t>
      </w:r>
    </w:p>
    <w:p>
      <w:pPr>
        <w:spacing w:after="0" w:line="117"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At September 30, 2021, we had bank debt, net of cash balances on hand, of $8.8 million and $30 million of borrowing capacity under our existing credit facility.</w:t>
      </w:r>
    </w:p>
    <w:p>
      <w:pPr>
        <w:spacing w:after="0" w:line="17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At September 30, 2021, our accounts receivable “days sales outstanding” (“DSOs”) measurement increased by three days to 66-days from our June 30, 2021 measurement. This measurement is on the high-end of our expectations.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that cash provided by operating activities, cash balances on hand and current availability under our credit facility will be adequate to fund our business needs and debt service obligations over the next twelve months, exclusive of any acquisition activity.</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Cash provided by operating activities for the nine months ended September 30, 2021 totaled $1.9 million compared to cash provided by operating activities of $16.9 million during the nine months ended September 30, 2020. Elements of cash flows in the 2021 period were net income of</w:t>
      </w:r>
    </w:p>
    <w:p>
      <w:pPr>
        <w:ind w:left="120"/>
        <w:spacing w:after="0" w:line="295" w:lineRule="auto"/>
        <w:rPr>
          <w:sz w:val="20"/>
          <w:szCs w:val="20"/>
          <w:color w:val="auto"/>
        </w:rPr>
      </w:pPr>
      <w:r>
        <w:rPr>
          <w:rFonts w:ascii="Arial" w:cs="Arial" w:eastAsia="Arial" w:hAnsi="Arial"/>
          <w:sz w:val="16"/>
          <w:szCs w:val="16"/>
          <w:color w:val="auto"/>
        </w:rPr>
        <w:t>$8.3 million, non-cash charges of $4.3 million, and an increase in operating working capital levels of ($10.7 million). During the nine months ended September 30, 2020, elements of cash flows were net income of $7.8 million, non-cash charges of $3.9 million and a decrease in operating working capital levels of $5.2 million. The operating working capital increase in the 2021 period reflects investment to support revenue growth and a higher DSO measurement. The operating working capital decrease in the 2020 period reflected an improvement in DSOs and higher payroll accruals.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Cash (used in) investing activities for the nine months ended September 30, 2021 was ($1.1 million) compared to ($247,000) for the nine months ended September 30, 2020. In 2021 and 2020, capital expenditures represented the majority of these investing activities. The increase in the 2021 capital expenditures largely related to system upgrades and the implementation of our Data and Analytics Services segment to our Oracle Cloud platform.</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Cash (used in) financing activities for the nine months ended September 30, 2021 totaled ($3.0 million) and consisted of ($3.3 million of term loan repayments, partially offset by $0.3 million related to the issuance of common stock applicable to the Company’s employee stock purchase plan and the exercise of stock options. Cash (used in) financing activities for the nine months ended September 30, 2020 totaled ($15.5 million) and consisted of net debt payments on our term loan and revolving credit line of ($16.9 million), partially offset by $1.4 million of proceeds from the exercise of stock options and the issuance of common stock related to the Company’s Employee Stock Purchase Plan.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seeking to ensure that billing rates are adjusted periodically to reflect increases in costs due to inflation.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accounting pronouncements are described in Note 17 to the accompanying financial statements.</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Cash and cash equivalents are defined as cash and highly liquid investments with maturities of three months or less when purchased. Cash equivalents are stated at cost, which approximates market value. Our cash flows and earnings are subject to fluctuations due to currency exchange rate variations. Foreign currency risk exists by nature of our global recruitment and delivery centers. In 2012 through 2015, we attempted to limit our exposure to currency exchange fluctuations in the Indian rupee via the purchase of foreign currency forward contracts. The Company elected not to engage in currency hedging activities in 2016 to date.</w:t>
      </w:r>
    </w:p>
    <w:p>
      <w:pPr>
        <w:spacing w:after="0" w:line="3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not effective due to the previously identified and disclosed material weaknesses described below.</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completed the acquisition of AmberLeaf Partners, Inc. on October 1, 2020 and has not yet included AmberLeaf in its assessment of the effectiveness of its internal control over financial reporting. The Company is currently integrating AmberLeaf into its operations, compliance programs and internal control processes. Accordingly, pursuant to the SEC’s general guidance that an assessment of a recently acquired business may be omitted from the scope of an assessment for one year following the acquisition, the scope of our assessment of the effectiveness of our disclosure controls and procedures does not include AmberLeaf. AmberLeaf constituted approximately 17% of the Company’s total assets (inclusive of acquired intangible assets) as of September 30, 2021, and approximately 3% of the Company’s net sales for the nine months ended September 30, 2021. AmberLeaf will be included in our assessment of the effectiveness of our internal control over financial reporting as of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Previously Identified Material Weakness in Internal Control over Financial Reporting</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disclosed in Part II, Item 9A of the Company’s Annual Report on Form 10-K for the year ended December 31, 2020, management has identified material weaknesses in the Company’s internal controls related to (1) management review controls designed to address risks associated with complex accounting matters that arise from significant routine and non-routine transactions related to goodwill impairment, business combinations, revenue recognition, share-based compensation, and income taxes; and (2) information technology general controls in the areas of change management, information security and IT operations. The material weaknesses will not be considered remediated until the applicable remedial controls operate for a sufficient period of time and management has concluded, through testing, that these controls are operating effectively.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Implementation of Plan to Remediate Material Weaknesses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Management is in the process of implementing measures designed to improve the Company’s internal control over financial reporting to remediate these material weaknesses. Remediation activities and planning are subject to ongoing senior management review, as well as Audit Committee oversight. During the nine months ended September 30, 2021, we implemented the following changes to our internal control over financial reporting:</w:t>
      </w:r>
    </w:p>
    <w:p>
      <w:pPr>
        <w:spacing w:after="0" w:line="54" w:lineRule="exact"/>
        <w:rPr>
          <w:sz w:val="20"/>
          <w:szCs w:val="20"/>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hired additional personnel in both the first and second quarters of 2021;</w:t>
      </w:r>
    </w:p>
    <w:p>
      <w:pPr>
        <w:spacing w:after="0" w:line="130"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our management review control processes associated with complex accounting matters beginning in the first quarter and substantially completed in the second quarter of 2021;</w:t>
      </w:r>
    </w:p>
    <w:p>
      <w:pPr>
        <w:spacing w:after="0" w:line="7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started testing for effectiveness our enhance management review control processes associated with complex accounting matters during the third quarter of 2021; and</w:t>
      </w:r>
    </w:p>
    <w:p>
      <w:pPr>
        <w:spacing w:after="0" w:line="75" w:lineRule="exact"/>
        <w:rPr>
          <w:rFonts w:ascii="Arial" w:cs="Arial" w:eastAsia="Arial" w:hAnsi="Arial"/>
          <w:sz w:val="18"/>
          <w:szCs w:val="18"/>
          <w:color w:val="auto"/>
        </w:rPr>
      </w:pPr>
    </w:p>
    <w:p>
      <w:pPr>
        <w:ind w:left="1540" w:right="100" w:hanging="439"/>
        <w:spacing w:after="0" w:line="263"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started the systems implementation process in the second quarter of 2021 to move the Data and Analytics subsidiary responsible for material weakness #2 above, to our Oracle Cloud ERP System. This implementation was completed in October 2021 for the subsidiary in question.</w:t>
      </w:r>
    </w:p>
    <w:p>
      <w:pPr>
        <w:spacing w:after="0" w:line="18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While we believe the changes described above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or that we may take in the future, will be sufficient to remediate</w:t>
      </w:r>
    </w:p>
    <w:p>
      <w:pPr>
        <w:spacing w:after="0" w:line="2" w:lineRule="exact"/>
        <w:rPr>
          <w:sz w:val="20"/>
          <w:szCs w:val="20"/>
          <w:color w:val="auto"/>
        </w:rPr>
      </w:pPr>
    </w:p>
    <w:p>
      <w:pPr>
        <w:ind w:left="120" w:right="700"/>
        <w:spacing w:after="0" w:line="290" w:lineRule="auto"/>
        <w:rPr>
          <w:sz w:val="20"/>
          <w:szCs w:val="20"/>
          <w:color w:val="auto"/>
        </w:rPr>
      </w:pPr>
      <w:r>
        <w:rPr>
          <w:rFonts w:ascii="Arial" w:cs="Arial" w:eastAsia="Arial" w:hAnsi="Arial"/>
          <w:sz w:val="17"/>
          <w:szCs w:val="17"/>
          <w:color w:val="auto"/>
        </w:rPr>
        <w:t>the material weaknesses we have identified or avoid potential future material weaknesses. Accordingly, there could continue to be a reasonable possibility that a material misstatement of our financial statements would not be prevented or detected on a timely basis.</w:t>
      </w:r>
    </w:p>
    <w:p>
      <w:pPr>
        <w:spacing w:after="0" w:line="16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certifications required by Section 302 of the Sarbanes-Oxley Act of 2002 are filed as exhibits 31.1 and 31.2, respectively, to this quarterly report on Form 10-Q.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As described above, there were changes in the Company’s internal control over financial reporting during the quarter ended September 30, 2021, that have materially affected, or are reasonably likely to materially affect, our internal control over financial reporting.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2020, filed with the SEC on March 16, 2021.</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Common Stock repurchased during the quarter ended September 30, 2021 is set forth in the following table: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6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Price per</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 this Plan</w:t>
            </w:r>
          </w:p>
        </w:tc>
        <w:tc>
          <w:tcPr>
            <w:tcW w:w="0" w:type="dxa"/>
            <w:vAlign w:val="bottom"/>
          </w:tcPr>
          <w:p>
            <w:pPr>
              <w:spacing w:after="0"/>
              <w:rPr>
                <w:sz w:val="1"/>
                <w:szCs w:val="1"/>
                <w:color w:val="auto"/>
              </w:rPr>
            </w:pPr>
          </w:p>
        </w:tc>
      </w:tr>
      <w:tr>
        <w:trPr>
          <w:trHeight w:val="144"/>
        </w:trPr>
        <w:tc>
          <w:tcPr>
            <w:tcW w:w="4900" w:type="dxa"/>
            <w:vAlign w:val="bottom"/>
            <w:gridSpan w:val="2"/>
            <w:vMerge w:val="continue"/>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640" w:type="dxa"/>
            <w:vAlign w:val="bottom"/>
          </w:tcPr>
          <w:p>
            <w:pPr>
              <w:spacing w:after="0"/>
              <w:rPr>
                <w:sz w:val="12"/>
                <w:szCs w:val="12"/>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Share</w:t>
            </w:r>
          </w:p>
        </w:tc>
        <w:tc>
          <w:tcPr>
            <w:tcW w:w="640" w:type="dxa"/>
            <w:vAlign w:val="bottom"/>
          </w:tcPr>
          <w:p>
            <w:pPr>
              <w:spacing w:after="0"/>
              <w:rPr>
                <w:sz w:val="12"/>
                <w:szCs w:val="12"/>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Programs (1)</w:t>
            </w:r>
          </w:p>
        </w:tc>
        <w:tc>
          <w:tcPr>
            <w:tcW w:w="640" w:type="dxa"/>
            <w:vAlign w:val="bottom"/>
          </w:tcPr>
          <w:p>
            <w:pPr>
              <w:spacing w:after="0"/>
              <w:rPr>
                <w:sz w:val="12"/>
                <w:szCs w:val="12"/>
                <w:color w:val="auto"/>
              </w:rPr>
            </w:pPr>
          </w:p>
        </w:tc>
        <w:tc>
          <w:tcPr>
            <w:tcW w:w="106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July 1, 2021 - July 31, 2021</w:t>
            </w:r>
          </w:p>
        </w:tc>
        <w:tc>
          <w:tcPr>
            <w:tcW w:w="68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August 1, 2021 - August 31, 2021</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2020 - September 30, 2021</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540" w:right="2880" w:hanging="5424"/>
        <w:spacing w:after="0" w:line="449" w:lineRule="auto"/>
        <w:tabs>
          <w:tab w:leader="none" w:pos="5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September 30, 2021, the Company does not have a publicly announced repurchase program in place. 30</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87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pursuant to Section 302 of the Sarbanes-Oxley Act of 2002 by the Chief Executive Officer is filed herewith.</w:t>
              </w:r>
            </w:hyperlink>
          </w:p>
        </w:tc>
        <w:tc>
          <w:tcPr>
            <w:tcW w:w="900" w:type="dxa"/>
            <w:vAlign w:val="bottom"/>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964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pursuant to Section 302 of the Sarbanes-Oxley Act of 2002 by the Chief Financial Officer is filed herewith.</w:t>
              </w:r>
            </w:hyperlink>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96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pursuant to 18 U.S.C. Section 1350, as adopted pursuant to Section 906 of the Sarbanes-Oxley Act of 2002, by the Chief</w:t>
              </w:r>
            </w:hyperlink>
          </w:p>
        </w:tc>
      </w:tr>
      <w:tr>
        <w:trPr>
          <w:trHeight w:val="196"/>
        </w:trPr>
        <w:tc>
          <w:tcPr>
            <w:tcW w:w="110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Executive Officer is furnished herewith.</w:t>
              </w:r>
            </w:hyperlink>
          </w:p>
        </w:tc>
        <w:tc>
          <w:tcPr>
            <w:tcW w:w="6740" w:type="dxa"/>
            <w:vAlign w:val="bottom"/>
            <w:gridSpan w:val="3"/>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32.2</w:t>
            </w:r>
          </w:p>
        </w:tc>
        <w:tc>
          <w:tcPr>
            <w:tcW w:w="96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pursuant to 18 U.S.C. Section 1350, as adopted pursuant to Section 906 of the Sarbanes-Oxley Act of 2002, by the Chief</w:t>
              </w:r>
            </w:hyperlink>
          </w:p>
        </w:tc>
      </w:tr>
      <w:tr>
        <w:trPr>
          <w:trHeight w:val="196"/>
        </w:trPr>
        <w:tc>
          <w:tcPr>
            <w:tcW w:w="1100" w:type="dxa"/>
            <w:vAlign w:val="bottom"/>
          </w:tcPr>
          <w:p>
            <w:pPr>
              <w:spacing w:after="0"/>
              <w:rPr>
                <w:sz w:val="17"/>
                <w:szCs w:val="17"/>
                <w:color w:val="auto"/>
              </w:rPr>
            </w:pPr>
          </w:p>
        </w:tc>
        <w:tc>
          <w:tcPr>
            <w:tcW w:w="9640" w:type="dxa"/>
            <w:vAlign w:val="bottom"/>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Officer is furnished herewith.</w:t>
              </w:r>
            </w:hyperlink>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28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800" w:type="dxa"/>
            <w:vAlign w:val="bottom"/>
            <w:gridSpan w:val="4"/>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6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6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6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6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6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5540" w:right="3100" w:hanging="5424"/>
        <w:spacing w:after="0" w:line="449" w:lineRule="auto"/>
        <w:tabs>
          <w:tab w:leader="none" w:pos="12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31</w:t>
      </w:r>
    </w:p>
    <w:p>
      <w:pPr>
        <w:sectPr>
          <w:pgSz w:w="11900" w:h="16838" w:orient="portrait"/>
          <w:cols w:equalWidth="0" w:num="1">
            <w:col w:w="10860"/>
          </w:cols>
          <w:pgMar w:left="320" w:top="486" w:right="7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8th day of November, 2021.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020" w:type="dxa"/>
            <w:vAlign w:val="bottom"/>
            <w:gridSpan w:val="3"/>
          </w:tcPr>
          <w:p>
            <w:pPr>
              <w:ind w:left="5840"/>
              <w:spacing w:after="0"/>
              <w:rPr>
                <w:sz w:val="20"/>
                <w:szCs w:val="20"/>
                <w:color w:val="auto"/>
              </w:rPr>
            </w:pPr>
            <w:r>
              <w:rPr>
                <w:rFonts w:ascii="Arial" w:cs="Arial" w:eastAsia="Arial" w:hAnsi="Arial"/>
                <w:sz w:val="18"/>
                <w:szCs w:val="18"/>
                <w:color w:val="auto"/>
              </w:rPr>
              <w:t>MASTECH DIGITAL, INC.</w:t>
            </w: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November 8, 2021</w:t>
            </w:r>
          </w:p>
        </w:tc>
        <w:tc>
          <w:tcPr>
            <w:tcW w:w="3580" w:type="dxa"/>
            <w:vAlign w:val="bottom"/>
          </w:tcPr>
          <w:p>
            <w:pPr>
              <w:ind w:left="40"/>
              <w:spacing w:after="0"/>
              <w:rPr>
                <w:sz w:val="20"/>
                <w:szCs w:val="20"/>
                <w:color w:val="auto"/>
              </w:rPr>
            </w:pPr>
            <w:r>
              <w:rPr>
                <w:rFonts w:ascii="Arial" w:cs="Arial" w:eastAsia="Arial" w:hAnsi="Arial"/>
                <w:sz w:val="18"/>
                <w:szCs w:val="18"/>
                <w:color w:val="auto"/>
              </w:rPr>
              <w:t>/s/  VIVEK GUPTA</w:t>
            </w:r>
          </w:p>
        </w:tc>
      </w:tr>
      <w:tr>
        <w:trPr>
          <w:trHeight w:val="205"/>
        </w:trPr>
        <w:tc>
          <w:tcPr>
            <w:tcW w:w="58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510"/>
              <w:spacing w:after="0" w:line="205" w:lineRule="exact"/>
              <w:rPr>
                <w:sz w:val="20"/>
                <w:szCs w:val="20"/>
                <w:color w:val="auto"/>
              </w:rPr>
            </w:pPr>
            <w:r>
              <w:rPr>
                <w:rFonts w:ascii="Arial" w:cs="Arial" w:eastAsia="Arial" w:hAnsi="Arial"/>
                <w:sz w:val="18"/>
                <w:szCs w:val="18"/>
                <w:b w:val="1"/>
                <w:bCs w:val="1"/>
                <w:color w:val="auto"/>
                <w:w w:val="94"/>
              </w:rPr>
              <w:t>Vivek Gupta</w:t>
            </w:r>
          </w:p>
        </w:tc>
      </w:tr>
      <w:tr>
        <w:trPr>
          <w:trHeight w:val="234"/>
        </w:trPr>
        <w:tc>
          <w:tcPr>
            <w:tcW w:w="5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45"/>
        </w:trPr>
        <w:tc>
          <w:tcPr>
            <w:tcW w:w="584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Arial" w:cs="Arial" w:eastAsia="Arial" w:hAnsi="Arial"/>
                <w:sz w:val="18"/>
                <w:szCs w:val="18"/>
                <w:color w:val="auto"/>
                <w:w w:val="94"/>
              </w:rPr>
              <w:t>/s/</w:t>
            </w:r>
          </w:p>
        </w:tc>
        <w:tc>
          <w:tcPr>
            <w:tcW w:w="3580" w:type="dxa"/>
            <w:vAlign w:val="bottom"/>
          </w:tcPr>
          <w:p>
            <w:pPr>
              <w:jc w:val="center"/>
              <w:ind w:right="1530"/>
              <w:spacing w:after="0"/>
              <w:rPr>
                <w:sz w:val="20"/>
                <w:szCs w:val="20"/>
                <w:color w:val="auto"/>
              </w:rPr>
            </w:pPr>
            <w:r>
              <w:rPr>
                <w:rFonts w:ascii="Arial" w:cs="Arial" w:eastAsia="Arial" w:hAnsi="Arial"/>
                <w:sz w:val="18"/>
                <w:szCs w:val="18"/>
                <w:color w:val="auto"/>
                <w:w w:val="92"/>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86"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6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5944"/>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63"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5944"/>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September 30, 2021,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 w:right="30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September 30, 2021,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8, 2021</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7"/>
      <w:numFmt w:val="bullet"/>
      <w:start w:val="1"/>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1."/>
      <w:numFmt w:val="decimal"/>
      <w:start w:val="10"/>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1."/>
      <w:numFmt w:val="decimal"/>
      <w:start w:val="14"/>
    </w:lvl>
  </w:abstractNum>
  <w:abstractNum w:abstractNumId="19">
    <w:nsid w:val="B03E0C6"/>
    <w:multiLevelType w:val="hybridMultilevel"/>
    <w:lvl w:ilvl="0">
      <w:lvlJc w:val="left"/>
      <w:lvlText w:val="%1."/>
      <w:numFmt w:val="decimal"/>
      <w:start w:val="15"/>
    </w:lvl>
  </w:abstractNum>
  <w:abstractNum w:abstractNumId="20">
    <w:nsid w:val="189A769B"/>
    <w:multiLevelType w:val="hybridMultilevel"/>
    <w:lvl w:ilvl="0">
      <w:lvlJc w:val="left"/>
      <w:lvlText w:val="%1."/>
      <w:numFmt w:val="decimal"/>
      <w:start w:val="16"/>
    </w:lvl>
  </w:abstractNum>
  <w:abstractNum w:abstractNumId="21">
    <w:nsid w:val="54E49EB4"/>
    <w:multiLevelType w:val="hybridMultilevel"/>
    <w:lvl w:ilvl="0">
      <w:lvlJc w:val="left"/>
      <w:lvlText w:val="%1."/>
      <w:numFmt w:val="decimal"/>
      <w:start w:val="17"/>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2021-11-08T06:04:22Z</dcterms:created>
  <dcterms:modified xsi:type="dcterms:W3CDTF">2021-11-08T06:04:22Z</dcterms:modified>
</cp:coreProperties>
</file>