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268605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115570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1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147955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8" w:lineRule="exact"/>
        <w:rPr>
          <w:sz w:val="24"/>
          <w:szCs w:val="24"/>
          <w:color w:val="auto"/>
        </w:rPr>
      </w:pPr>
    </w:p>
    <w:p>
      <w:pPr>
        <w:ind w:left="540" w:right="60" w:hanging="424"/>
        <w:spacing w:after="0" w:line="237" w:lineRule="auto"/>
        <w:tabs>
          <w:tab w:leader="none" w:pos="5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4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2025</w:t>
      </w:r>
    </w:p>
    <w:p>
      <w:pPr>
        <w:spacing w:after="0" w:line="81" w:lineRule="exact"/>
        <w:rPr>
          <w:sz w:val="24"/>
          <w:szCs w:val="24"/>
          <w:color w:val="auto"/>
        </w:rPr>
      </w:pPr>
    </w:p>
    <w:p>
      <w:pPr>
        <w:ind w:left="540" w:right="40" w:hanging="424"/>
        <w:spacing w:after="0" w:line="262" w:lineRule="auto"/>
        <w:tabs>
          <w:tab w:leader="none" w:pos="54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0"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Commission File Number 001-34099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139700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4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43"/>
          <w:szCs w:val="43"/>
          <w:b w:val="1"/>
          <w:bCs w:val="1"/>
          <w:color w:val="auto"/>
        </w:rPr>
        <w:t>MASTECH DIGITAL, INC.</w:t>
      </w:r>
    </w:p>
    <w:p>
      <w:pPr>
        <w:spacing w:after="0" w:line="5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124460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89" w:lineRule="exact"/>
        <w:rPr>
          <w:sz w:val="24"/>
          <w:szCs w:val="24"/>
          <w:color w:val="auto"/>
        </w:rPr>
      </w:pPr>
    </w:p>
    <w:tbl>
      <w:tblPr>
        <w:tblLayout w:type="fixed"/>
        <w:tblInd w:w="920" w:type="dxa"/>
        <w:tblCellMar>
          <w:top w:w="0" w:type="dxa"/>
          <w:left w:w="0" w:type="dxa"/>
          <w:bottom w:w="0" w:type="dxa"/>
          <w:right w:w="0" w:type="dxa"/>
        </w:tblCellMar>
      </w:tblPr>
      <w:tr>
        <w:trPr>
          <w:trHeight w:val="214"/>
        </w:trPr>
        <w:tc>
          <w:tcPr>
            <w:tcW w:w="5460" w:type="dxa"/>
            <w:vAlign w:val="bottom"/>
          </w:tcPr>
          <w:p>
            <w:pPr>
              <w:jc w:val="center"/>
              <w:ind w:right="1419"/>
              <w:spacing w:after="0"/>
              <w:rPr>
                <w:sz w:val="20"/>
                <w:szCs w:val="20"/>
                <w:color w:val="auto"/>
              </w:rPr>
            </w:pPr>
            <w:r>
              <w:rPr>
                <w:rFonts w:ascii="Times New Roman" w:cs="Times New Roman" w:eastAsia="Times New Roman" w:hAnsi="Times New Roman"/>
                <w:sz w:val="18"/>
                <w:szCs w:val="18"/>
                <w:b w:val="1"/>
                <w:bCs w:val="1"/>
                <w:color w:val="auto"/>
                <w:w w:val="97"/>
              </w:rPr>
              <w:t>PENNSYLVANIA</w:t>
            </w:r>
          </w:p>
        </w:tc>
        <w:tc>
          <w:tcPr>
            <w:tcW w:w="264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26-2753540</w:t>
            </w:r>
          </w:p>
        </w:tc>
      </w:tr>
      <w:tr>
        <w:trPr>
          <w:trHeight w:val="148"/>
        </w:trPr>
        <w:tc>
          <w:tcPr>
            <w:tcW w:w="5460" w:type="dxa"/>
            <w:vAlign w:val="bottom"/>
          </w:tcPr>
          <w:p>
            <w:pPr>
              <w:jc w:val="center"/>
              <w:ind w:right="14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640" w:type="dxa"/>
            <w:vAlign w:val="bottom"/>
          </w:tcPr>
          <w:p>
            <w:pPr>
              <w:jc w:val="center"/>
              <w:ind w:left="14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5460" w:type="dxa"/>
            <w:vAlign w:val="bottom"/>
          </w:tcPr>
          <w:p>
            <w:pPr>
              <w:jc w:val="center"/>
              <w:ind w:right="141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640" w:type="dxa"/>
            <w:vAlign w:val="bottom"/>
          </w:tcPr>
          <w:p>
            <w:pPr>
              <w:jc w:val="center"/>
              <w:ind w:left="14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71"/>
        </w:trPr>
        <w:tc>
          <w:tcPr>
            <w:tcW w:w="5460" w:type="dxa"/>
            <w:vAlign w:val="bottom"/>
          </w:tcPr>
          <w:p>
            <w:pPr>
              <w:jc w:val="center"/>
              <w:ind w:right="1419"/>
              <w:spacing w:after="0"/>
              <w:rPr>
                <w:sz w:val="20"/>
                <w:szCs w:val="20"/>
                <w:color w:val="auto"/>
              </w:rPr>
            </w:pPr>
            <w:r>
              <w:rPr>
                <w:rFonts w:ascii="Times New Roman" w:cs="Times New Roman" w:eastAsia="Times New Roman" w:hAnsi="Times New Roman"/>
                <w:sz w:val="18"/>
                <w:szCs w:val="18"/>
                <w:b w:val="1"/>
                <w:bCs w:val="1"/>
                <w:color w:val="auto"/>
                <w:w w:val="99"/>
              </w:rPr>
              <w:t>1305 Cherrington Parkway, Building 210, Suite 400</w:t>
            </w:r>
          </w:p>
        </w:tc>
        <w:tc>
          <w:tcPr>
            <w:tcW w:w="2640" w:type="dxa"/>
            <w:vAlign w:val="bottom"/>
          </w:tcPr>
          <w:p>
            <w:pPr>
              <w:spacing w:after="0"/>
              <w:rPr>
                <w:sz w:val="23"/>
                <w:szCs w:val="23"/>
                <w:color w:val="auto"/>
              </w:rPr>
            </w:pPr>
          </w:p>
        </w:tc>
      </w:tr>
      <w:tr>
        <w:trPr>
          <w:trHeight w:val="227"/>
        </w:trPr>
        <w:tc>
          <w:tcPr>
            <w:tcW w:w="5460" w:type="dxa"/>
            <w:vAlign w:val="bottom"/>
          </w:tcPr>
          <w:p>
            <w:pPr>
              <w:jc w:val="center"/>
              <w:ind w:right="1419"/>
              <w:spacing w:after="0"/>
              <w:rPr>
                <w:sz w:val="20"/>
                <w:szCs w:val="20"/>
                <w:color w:val="auto"/>
              </w:rPr>
            </w:pPr>
            <w:r>
              <w:rPr>
                <w:rFonts w:ascii="Times New Roman" w:cs="Times New Roman" w:eastAsia="Times New Roman" w:hAnsi="Times New Roman"/>
                <w:sz w:val="18"/>
                <w:szCs w:val="18"/>
                <w:b w:val="1"/>
                <w:bCs w:val="1"/>
                <w:color w:val="auto"/>
                <w:w w:val="99"/>
              </w:rPr>
              <w:t>Moon Township, Pennsylvania</w:t>
            </w:r>
          </w:p>
        </w:tc>
        <w:tc>
          <w:tcPr>
            <w:tcW w:w="264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15108</w:t>
            </w:r>
          </w:p>
        </w:tc>
      </w:tr>
      <w:tr>
        <w:trPr>
          <w:trHeight w:val="190"/>
        </w:trPr>
        <w:tc>
          <w:tcPr>
            <w:tcW w:w="5460" w:type="dxa"/>
            <w:vAlign w:val="bottom"/>
          </w:tcPr>
          <w:p>
            <w:pPr>
              <w:jc w:val="center"/>
              <w:ind w:right="14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640" w:type="dxa"/>
            <w:vAlign w:val="bottom"/>
          </w:tcPr>
          <w:p>
            <w:pPr>
              <w:jc w:val="center"/>
              <w:ind w:left="14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6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(412) 787-2100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165735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40"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75" w:lineRule="exact"/>
        <w:rPr>
          <w:sz w:val="24"/>
          <w:szCs w:val="24"/>
          <w:color w:val="auto"/>
        </w:rPr>
      </w:pPr>
    </w:p>
    <w:tbl>
      <w:tblPr>
        <w:tblLayout w:type="fixed"/>
        <w:tblInd w:w="420" w:type="dxa"/>
        <w:tblCellMar>
          <w:top w:w="0" w:type="dxa"/>
          <w:left w:w="0" w:type="dxa"/>
          <w:bottom w:w="0" w:type="dxa"/>
          <w:right w:w="0" w:type="dxa"/>
        </w:tblCellMar>
      </w:tblPr>
      <w:tr>
        <w:trPr>
          <w:trHeight w:val="161"/>
        </w:trPr>
        <w:tc>
          <w:tcPr>
            <w:tcW w:w="1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900" w:type="dxa"/>
            <w:vAlign w:val="bottom"/>
            <w:gridSpan w:val="2"/>
          </w:tcPr>
          <w:p>
            <w:pPr>
              <w:jc w:val="center"/>
              <w:ind w:right="13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2740" w:type="dxa"/>
            <w:vAlign w:val="bottom"/>
            <w:gridSpan w:val="3"/>
          </w:tcPr>
          <w:p>
            <w:pPr>
              <w:jc w:val="center"/>
              <w:ind w:left="1242"/>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73"/>
        </w:trPr>
        <w:tc>
          <w:tcPr>
            <w:tcW w:w="1020" w:type="dxa"/>
            <w:vAlign w:val="bottom"/>
          </w:tcPr>
          <w:p>
            <w:pPr>
              <w:spacing w:after="0"/>
              <w:rPr>
                <w:sz w:val="15"/>
                <w:szCs w:val="15"/>
                <w:color w:val="auto"/>
              </w:rPr>
            </w:pPr>
          </w:p>
        </w:tc>
        <w:tc>
          <w:tcPr>
            <w:tcW w:w="3040" w:type="dxa"/>
            <w:vAlign w:val="bottom"/>
            <w:gridSpan w:val="2"/>
          </w:tcPr>
          <w:p>
            <w:pPr>
              <w:jc w:val="center"/>
              <w:ind w:right="1960"/>
              <w:spacing w:after="0" w:line="153" w:lineRule="exact"/>
              <w:rPr>
                <w:sz w:val="20"/>
                <w:szCs w:val="20"/>
                <w:color w:val="auto"/>
              </w:rPr>
            </w:pPr>
            <w:r>
              <w:rPr>
                <w:rFonts w:ascii="Times New Roman" w:cs="Times New Roman" w:eastAsia="Times New Roman" w:hAnsi="Times New Roman"/>
                <w:sz w:val="14"/>
                <w:szCs w:val="14"/>
                <w:b w:val="1"/>
                <w:bCs w:val="1"/>
                <w:color w:val="auto"/>
              </w:rPr>
              <w:t>Title of each class</w:t>
            </w:r>
          </w:p>
        </w:tc>
        <w:tc>
          <w:tcPr>
            <w:tcW w:w="2860" w:type="dxa"/>
            <w:vAlign w:val="bottom"/>
            <w:gridSpan w:val="3"/>
          </w:tcPr>
          <w:p>
            <w:pPr>
              <w:jc w:val="center"/>
              <w:ind w:right="340"/>
              <w:spacing w:after="0" w:line="153" w:lineRule="exact"/>
              <w:rPr>
                <w:sz w:val="20"/>
                <w:szCs w:val="20"/>
                <w:color w:val="auto"/>
              </w:rPr>
            </w:pPr>
            <w:r>
              <w:rPr>
                <w:rFonts w:ascii="Times New Roman" w:cs="Times New Roman" w:eastAsia="Times New Roman" w:hAnsi="Times New Roman"/>
                <w:sz w:val="14"/>
                <w:szCs w:val="14"/>
                <w:b w:val="1"/>
                <w:bCs w:val="1"/>
                <w:color w:val="auto"/>
              </w:rPr>
              <w:t>Symbol(s)</w:t>
            </w:r>
          </w:p>
        </w:tc>
        <w:tc>
          <w:tcPr>
            <w:tcW w:w="2740" w:type="dxa"/>
            <w:vAlign w:val="bottom"/>
            <w:gridSpan w:val="3"/>
          </w:tcPr>
          <w:p>
            <w:pPr>
              <w:jc w:val="center"/>
              <w:ind w:left="1242"/>
              <w:spacing w:after="0" w:line="153" w:lineRule="exact"/>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0"/>
        </w:trPr>
        <w:tc>
          <w:tcPr>
            <w:tcW w:w="406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MHH</w:t>
            </w:r>
          </w:p>
        </w:tc>
        <w:tc>
          <w:tcPr>
            <w:tcW w:w="1300" w:type="dxa"/>
            <w:vAlign w:val="bottom"/>
            <w:vMerge w:val="restart"/>
          </w:tcPr>
          <w:p>
            <w:pPr>
              <w:spacing w:after="0" w:line="20" w:lineRule="exact"/>
              <w:rPr>
                <w:sz w:val="1"/>
                <w:szCs w:val="1"/>
                <w:color w:val="auto"/>
              </w:rPr>
            </w:pPr>
          </w:p>
        </w:tc>
        <w:tc>
          <w:tcPr>
            <w:tcW w:w="2740" w:type="dxa"/>
            <w:vAlign w:val="bottom"/>
            <w:gridSpan w:val="3"/>
            <w:vMerge w:val="restart"/>
          </w:tcPr>
          <w:p>
            <w:pPr>
              <w:jc w:val="center"/>
              <w:ind w:left="1242"/>
              <w:spacing w:after="0"/>
              <w:rPr>
                <w:sz w:val="20"/>
                <w:szCs w:val="20"/>
                <w:color w:val="auto"/>
              </w:rPr>
            </w:pPr>
            <w:r>
              <w:rPr>
                <w:rFonts w:ascii="Times New Roman" w:cs="Times New Roman" w:eastAsia="Times New Roman" w:hAnsi="Times New Roman"/>
                <w:sz w:val="18"/>
                <w:szCs w:val="18"/>
                <w:b w:val="1"/>
                <w:bCs w:val="1"/>
                <w:color w:val="auto"/>
              </w:rPr>
              <w:t>NYSE American</w:t>
            </w:r>
          </w:p>
        </w:tc>
        <w:tc>
          <w:tcPr>
            <w:tcW w:w="0" w:type="dxa"/>
            <w:vAlign w:val="bottom"/>
          </w:tcPr>
          <w:p>
            <w:pPr>
              <w:spacing w:after="0" w:line="20" w:lineRule="exact"/>
              <w:rPr>
                <w:sz w:val="1"/>
                <w:szCs w:val="1"/>
                <w:color w:val="auto"/>
              </w:rPr>
            </w:pPr>
          </w:p>
        </w:tc>
      </w:tr>
      <w:tr>
        <w:trPr>
          <w:trHeight w:val="219"/>
        </w:trPr>
        <w:tc>
          <w:tcPr>
            <w:tcW w:w="4060" w:type="dxa"/>
            <w:vAlign w:val="bottom"/>
            <w:gridSpan w:val="3"/>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w w:val="99"/>
              </w:rPr>
              <w:t>Common Stock, par value $.01 per share</w:t>
            </w:r>
          </w:p>
        </w:tc>
        <w:tc>
          <w:tcPr>
            <w:tcW w:w="96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300" w:type="dxa"/>
            <w:vAlign w:val="bottom"/>
            <w:vMerge w:val="continue"/>
          </w:tcPr>
          <w:p>
            <w:pPr>
              <w:spacing w:after="0"/>
              <w:rPr>
                <w:sz w:val="19"/>
                <w:szCs w:val="19"/>
                <w:color w:val="auto"/>
              </w:rPr>
            </w:pPr>
          </w:p>
        </w:tc>
        <w:tc>
          <w:tcPr>
            <w:tcW w:w="274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p>
      <w:pPr>
        <w:spacing w:after="0" w:line="27" w:lineRule="exact"/>
        <w:rPr>
          <w:sz w:val="24"/>
          <w:szCs w:val="24"/>
          <w:color w:val="auto"/>
        </w:rPr>
      </w:pPr>
    </w:p>
    <w:p>
      <w:pPr>
        <w:ind w:left="120" w:right="240"/>
        <w:spacing w:after="0" w:line="230"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6" w:lineRule="exact"/>
        <w:rPr>
          <w:sz w:val="24"/>
          <w:szCs w:val="24"/>
          <w:color w:val="auto"/>
        </w:rPr>
      </w:pPr>
    </w:p>
    <w:p>
      <w:pPr>
        <w:jc w:val="both"/>
        <w:ind w:left="120" w:right="140" w:firstLine="44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120" w:type="dxa"/>
        <w:tblCellMar>
          <w:top w:w="0" w:type="dxa"/>
          <w:left w:w="0" w:type="dxa"/>
          <w:bottom w:w="0" w:type="dxa"/>
          <w:right w:w="0" w:type="dxa"/>
        </w:tblCellMar>
      </w:tblPr>
      <w:tr>
        <w:trPr>
          <w:trHeight w:val="30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1" w:lineRule="exact"/>
        <w:rPr>
          <w:sz w:val="24"/>
          <w:szCs w:val="24"/>
          <w:color w:val="auto"/>
        </w:rPr>
      </w:pPr>
    </w:p>
    <w:p>
      <w:pPr>
        <w:ind w:left="120" w:right="120" w:firstLine="4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120" w:right="1040" w:firstLine="440"/>
        <w:spacing w:after="0" w:line="27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 number of shares of the registrant’s Common Stock, par value $.01 per share, outstanding as of July 31, 2025 was 11,784,183.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103505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00"/>
          </w:cols>
          <w:pgMar w:left="320" w:top="225" w:right="4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MASTECH DIGITAL,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 THE QUARTER ENDED JUNE 30, 2025</w:t>
      </w:r>
    </w:p>
    <w:p>
      <w:pPr>
        <w:spacing w:after="0" w:line="20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PART 1</w:t>
            </w:r>
          </w:p>
        </w:tc>
        <w:tc>
          <w:tcPr>
            <w:tcW w:w="9800" w:type="dxa"/>
            <w:vAlign w:val="bottom"/>
            <w:gridSpan w:val="22"/>
            <w:vMerge w:val="restart"/>
          </w:tcPr>
          <w:p>
            <w:pPr>
              <w:spacing w:after="0"/>
              <w:rPr>
                <w:sz w:val="20"/>
                <w:szCs w:val="20"/>
                <w:color w:val="auto"/>
              </w:rPr>
            </w:pPr>
            <w:r>
              <w:rPr>
                <w:rFonts w:ascii="Times New Roman" w:cs="Times New Roman" w:eastAsia="Times New Roman" w:hAnsi="Times New Roman"/>
                <w:sz w:val="18"/>
                <w:szCs w:val="18"/>
                <w:color w:val="0000EE"/>
              </w:rPr>
              <w:t>FINANCIAL INFORMATION</w:t>
            </w: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56"/>
        </w:trPr>
        <w:tc>
          <w:tcPr>
            <w:tcW w:w="880" w:type="dxa"/>
            <w:vAlign w:val="bottom"/>
            <w:vMerge w:val="continue"/>
          </w:tcPr>
          <w:p>
            <w:pPr>
              <w:spacing w:after="0"/>
              <w:rPr>
                <w:sz w:val="13"/>
                <w:szCs w:val="13"/>
                <w:color w:val="auto"/>
              </w:rPr>
            </w:pPr>
          </w:p>
        </w:tc>
        <w:tc>
          <w:tcPr>
            <w:tcW w:w="9800" w:type="dxa"/>
            <w:vAlign w:val="bottom"/>
            <w:gridSpan w:val="22"/>
            <w:vMerge w:val="continue"/>
          </w:tcPr>
          <w:p>
            <w:pPr>
              <w:spacing w:after="0"/>
              <w:rPr>
                <w:sz w:val="13"/>
                <w:szCs w:val="13"/>
                <w:color w:val="auto"/>
              </w:rPr>
            </w:pPr>
          </w:p>
        </w:tc>
        <w:tc>
          <w:tcPr>
            <w:tcW w:w="3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2240" w:type="dxa"/>
            <w:vAlign w:val="bottom"/>
            <w:tcBorders>
              <w:top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rPr>
              <w:t>Financial Statements:</w:t>
            </w:r>
          </w:p>
        </w:tc>
        <w:tc>
          <w:tcPr>
            <w:tcW w:w="7560" w:type="dxa"/>
            <w:vAlign w:val="bottom"/>
            <w:gridSpan w:val="10"/>
          </w:tcPr>
          <w:p>
            <w:pPr>
              <w:spacing w:after="0"/>
              <w:rPr>
                <w:sz w:val="24"/>
                <w:szCs w:val="24"/>
                <w:color w:val="auto"/>
              </w:rPr>
            </w:pP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948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Condensed Consolidated Statements of Operations (Unaudited) for the Three and Six Months Ended June 30, 2025 and 2024</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922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Comprehensive Income (Unaudited) for the Three and Six Months Ended June 30, 2025</w:t>
            </w:r>
          </w:p>
        </w:tc>
        <w:tc>
          <w:tcPr>
            <w:tcW w:w="260" w:type="dxa"/>
            <w:vAlign w:val="bottom"/>
            <w:gridSpan w:val="2"/>
          </w:tcPr>
          <w:p>
            <w:pPr>
              <w:spacing w:after="0"/>
              <w:rPr>
                <w:sz w:val="24"/>
                <w:szCs w:val="24"/>
                <w:color w:val="auto"/>
              </w:rPr>
            </w:pP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and 2024</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(c)</w:t>
            </w:r>
          </w:p>
        </w:tc>
        <w:tc>
          <w:tcPr>
            <w:tcW w:w="948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Condensed Consolidated Balance Sheets (Unaudited) as of June 30, 2025 and December 31, 2024</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(d)</w:t>
            </w:r>
          </w:p>
        </w:tc>
        <w:tc>
          <w:tcPr>
            <w:tcW w:w="948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Condensed Consolidated Statements of Shareholders’ Equity (Unaudited) for the Three and Six Months Ended June 30, 2025 and</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4"/>
              </w:rPr>
              <w:t>2024</w:t>
            </w:r>
          </w:p>
        </w:tc>
        <w:tc>
          <w:tcPr>
            <w:tcW w:w="2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1240" w:type="dxa"/>
            <w:vAlign w:val="bottom"/>
            <w:tcBorders>
              <w:top w:val="single" w:sz="8" w:color="0000EE"/>
            </w:tcBorders>
          </w:tcPr>
          <w:p>
            <w:pPr>
              <w:spacing w:after="0"/>
              <w:rPr>
                <w:sz w:val="17"/>
                <w:szCs w:val="17"/>
                <w:color w:val="auto"/>
              </w:rPr>
            </w:pPr>
          </w:p>
        </w:tc>
        <w:tc>
          <w:tcPr>
            <w:tcW w:w="900" w:type="dxa"/>
            <w:vAlign w:val="bottom"/>
            <w:tcBorders>
              <w:top w:val="single" w:sz="8" w:color="0000EE"/>
            </w:tcBorders>
          </w:tcPr>
          <w:p>
            <w:pPr>
              <w:spacing w:after="0"/>
              <w:rPr>
                <w:sz w:val="17"/>
                <w:szCs w:val="17"/>
                <w:color w:val="auto"/>
              </w:rPr>
            </w:pPr>
          </w:p>
        </w:tc>
        <w:tc>
          <w:tcPr>
            <w:tcW w:w="124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88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(e)</w:t>
            </w:r>
          </w:p>
        </w:tc>
        <w:tc>
          <w:tcPr>
            <w:tcW w:w="948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Condensed Consolidated Statements of Cash Flows (Unaudited) for the Six Months Ended June 30, 2025 and 2024</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(f)</w:t>
            </w:r>
          </w:p>
        </w:tc>
        <w:tc>
          <w:tcPr>
            <w:tcW w:w="8280" w:type="dxa"/>
            <w:vAlign w:val="bottom"/>
            <w:tcBorders>
              <w:top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rPr>
              <w:t>Notes to Condensed Consolidated Financial Statements (Unaudited)</w:t>
            </w:r>
          </w:p>
        </w:tc>
        <w:tc>
          <w:tcPr>
            <w:tcW w:w="1200" w:type="dxa"/>
            <w:vAlign w:val="bottom"/>
            <w:gridSpan w:val="4"/>
          </w:tcPr>
          <w:p>
            <w:pPr>
              <w:spacing w:after="0"/>
              <w:rPr>
                <w:sz w:val="24"/>
                <w:szCs w:val="24"/>
                <w:color w:val="auto"/>
              </w:rPr>
            </w:pP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340" w:type="dxa"/>
            <w:vAlign w:val="bottom"/>
            <w:gridSpan w:val="6"/>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3340" w:type="dxa"/>
            <w:vAlign w:val="bottom"/>
            <w:gridSpan w:val="6"/>
          </w:tcPr>
          <w:p>
            <w:pPr>
              <w:spacing w:after="0"/>
              <w:rPr>
                <w:sz w:val="24"/>
                <w:szCs w:val="24"/>
                <w:color w:val="auto"/>
              </w:rPr>
            </w:pP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5440" w:type="dxa"/>
            <w:vAlign w:val="bottom"/>
            <w:gridSpan w:val="8"/>
          </w:tcPr>
          <w:p>
            <w:pPr>
              <w:spacing w:after="0"/>
              <w:rPr>
                <w:sz w:val="24"/>
                <w:szCs w:val="24"/>
                <w:color w:val="auto"/>
              </w:rPr>
            </w:pP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80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Controls and Procedures</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5460" w:type="dxa"/>
            <w:vAlign w:val="bottom"/>
            <w:gridSpan w:val="9"/>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PART II</w:t>
            </w:r>
          </w:p>
        </w:tc>
        <w:tc>
          <w:tcPr>
            <w:tcW w:w="188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7"/>
              </w:rPr>
              <w:t>OTHER INFORMATION</w:t>
            </w:r>
          </w:p>
        </w:tc>
        <w:tc>
          <w:tcPr>
            <w:tcW w:w="7920" w:type="dxa"/>
            <w:vAlign w:val="bottom"/>
            <w:gridSpan w:val="11"/>
          </w:tcPr>
          <w:p>
            <w:pPr>
              <w:spacing w:after="0"/>
              <w:rPr>
                <w:sz w:val="24"/>
                <w:szCs w:val="24"/>
                <w:color w:val="auto"/>
              </w:rPr>
            </w:pP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80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7"/>
              </w:rPr>
              <w:t>Risk Factors</w:t>
            </w:r>
          </w:p>
        </w:tc>
        <w:tc>
          <w:tcPr>
            <w:tcW w:w="420" w:type="dxa"/>
            <w:vAlign w:val="bottom"/>
            <w:tcBorders>
              <w:top w:val="single" w:sz="8" w:color="0000EE"/>
            </w:tcBorders>
            <w:gridSpan w:val="4"/>
          </w:tcPr>
          <w:p>
            <w:pPr>
              <w:spacing w:after="0"/>
              <w:rPr>
                <w:sz w:val="24"/>
                <w:szCs w:val="24"/>
                <w:color w:val="auto"/>
              </w:rPr>
            </w:pPr>
          </w:p>
        </w:tc>
        <w:tc>
          <w:tcPr>
            <w:tcW w:w="8480" w:type="dxa"/>
            <w:vAlign w:val="bottom"/>
            <w:gridSpan w:val="14"/>
          </w:tcPr>
          <w:p>
            <w:pPr>
              <w:spacing w:after="0"/>
              <w:rPr>
                <w:sz w:val="24"/>
                <w:szCs w:val="24"/>
                <w:color w:val="auto"/>
              </w:rPr>
            </w:pP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80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4340" w:type="dxa"/>
            <w:vAlign w:val="bottom"/>
            <w:tcBorders>
              <w:top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rPr>
              <w:t>Other Information</w:t>
            </w:r>
          </w:p>
        </w:tc>
        <w:tc>
          <w:tcPr>
            <w:tcW w:w="5460" w:type="dxa"/>
            <w:vAlign w:val="bottom"/>
            <w:gridSpan w:val="9"/>
          </w:tcPr>
          <w:p>
            <w:pPr>
              <w:spacing w:after="0"/>
              <w:rPr>
                <w:sz w:val="24"/>
                <w:szCs w:val="24"/>
                <w:color w:val="auto"/>
              </w:rPr>
            </w:pP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6"/>
              </w:rPr>
              <w:t>Exhibits</w:t>
            </w:r>
          </w:p>
        </w:tc>
        <w:tc>
          <w:tcPr>
            <w:tcW w:w="700" w:type="dxa"/>
            <w:vAlign w:val="bottom"/>
            <w:tcBorders>
              <w:top w:val="single" w:sz="8" w:color="0000EE"/>
            </w:tcBorders>
            <w:gridSpan w:val="5"/>
          </w:tcPr>
          <w:p>
            <w:pPr>
              <w:spacing w:after="0"/>
              <w:rPr>
                <w:sz w:val="24"/>
                <w:szCs w:val="24"/>
                <w:color w:val="auto"/>
              </w:rPr>
            </w:pPr>
          </w:p>
        </w:tc>
        <w:tc>
          <w:tcPr>
            <w:tcW w:w="8500" w:type="dxa"/>
            <w:vAlign w:val="bottom"/>
            <w:gridSpan w:val="15"/>
          </w:tcPr>
          <w:p>
            <w:pPr>
              <w:spacing w:after="0"/>
              <w:rPr>
                <w:sz w:val="24"/>
                <w:szCs w:val="24"/>
                <w:color w:val="auto"/>
              </w:rPr>
            </w:pP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4"/>
                <w:szCs w:val="24"/>
                <w:color w:val="auto"/>
              </w:rPr>
            </w:pPr>
          </w:p>
        </w:tc>
        <w:tc>
          <w:tcPr>
            <w:tcW w:w="110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6"/>
              </w:rPr>
              <w:t>SIGNATURES</w:t>
            </w:r>
          </w:p>
        </w:tc>
        <w:tc>
          <w:tcPr>
            <w:tcW w:w="8700" w:type="dxa"/>
            <w:vAlign w:val="bottom"/>
            <w:gridSpan w:val="16"/>
          </w:tcPr>
          <w:p>
            <w:pPr>
              <w:spacing w:after="0"/>
              <w:rPr>
                <w:sz w:val="24"/>
                <w:szCs w:val="24"/>
                <w:color w:val="auto"/>
              </w:rPr>
            </w:pP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385"/>
        </w:trPr>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900" w:type="dxa"/>
            <w:vAlign w:val="bottom"/>
            <w:gridSpan w:val="14"/>
          </w:tcPr>
          <w:p>
            <w:pPr>
              <w:ind w:left="4260"/>
              <w:spacing w:after="0"/>
              <w:rPr>
                <w:sz w:val="20"/>
                <w:szCs w:val="20"/>
                <w:color w:val="auto"/>
              </w:rPr>
            </w:pPr>
            <w:r>
              <w:rPr>
                <w:rFonts w:ascii="Times New Roman" w:cs="Times New Roman" w:eastAsia="Times New Roman" w:hAnsi="Times New Roman"/>
                <w:sz w:val="18"/>
                <w:szCs w:val="18"/>
                <w:color w:val="auto"/>
              </w:rPr>
              <w:t>2</w:t>
            </w:r>
          </w:p>
        </w:tc>
        <w:tc>
          <w:tcPr>
            <w:tcW w:w="1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52"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FINANCIAL STATEMENTS</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MASTECH DIGITAL,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data)</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880" w:type="dxa"/>
            <w:vAlign w:val="bottom"/>
          </w:tcPr>
          <w:p>
            <w:pPr>
              <w:spacing w:after="0"/>
              <w:rPr>
                <w:sz w:val="13"/>
                <w:szCs w:val="13"/>
                <w:color w:val="auto"/>
              </w:rPr>
            </w:pPr>
          </w:p>
        </w:tc>
        <w:tc>
          <w:tcPr>
            <w:tcW w:w="1620" w:type="dxa"/>
            <w:vAlign w:val="bottom"/>
            <w:gridSpan w:val="7"/>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1420" w:type="dxa"/>
            <w:vAlign w:val="bottom"/>
            <w:gridSpan w:val="5"/>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7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6"/>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15"/>
                <w:szCs w:val="15"/>
                <w:color w:val="auto"/>
              </w:rPr>
            </w:pPr>
          </w:p>
        </w:tc>
        <w:tc>
          <w:tcPr>
            <w:tcW w:w="1420" w:type="dxa"/>
            <w:vAlign w:val="bottom"/>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78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49,097</w:t>
            </w:r>
          </w:p>
        </w:tc>
        <w:tc>
          <w:tcPr>
            <w:tcW w:w="20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49,534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97,414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96,357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35,277</w:t>
            </w:r>
          </w:p>
        </w:tc>
        <w:tc>
          <w:tcPr>
            <w:tcW w:w="2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6"/>
              </w:rPr>
              <w:t>35,554</w:t>
            </w:r>
          </w:p>
        </w:tc>
        <w:tc>
          <w:tcPr>
            <w:tcW w:w="100" w:type="dxa"/>
            <w:vAlign w:val="bottom"/>
          </w:tcPr>
          <w:p>
            <w:pPr>
              <w:spacing w:after="0"/>
              <w:rPr>
                <w:sz w:val="18"/>
                <w:szCs w:val="18"/>
                <w:color w:val="auto"/>
              </w:rPr>
            </w:pPr>
          </w:p>
        </w:tc>
        <w:tc>
          <w:tcPr>
            <w:tcW w:w="7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w w:val="96"/>
              </w:rPr>
              <w:t>70,702</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6"/>
              </w:rPr>
              <w:t>70,246</w:t>
            </w:r>
          </w:p>
        </w:tc>
        <w:tc>
          <w:tcPr>
            <w:tcW w:w="0" w:type="dxa"/>
            <w:vAlign w:val="bottom"/>
          </w:tcPr>
          <w:p>
            <w:pPr>
              <w:spacing w:after="0"/>
              <w:rPr>
                <w:sz w:val="1"/>
                <w:szCs w:val="1"/>
                <w:color w:val="auto"/>
              </w:rPr>
            </w:pPr>
          </w:p>
        </w:tc>
      </w:tr>
      <w:tr>
        <w:trPr>
          <w:trHeight w:val="27"/>
        </w:trPr>
        <w:tc>
          <w:tcPr>
            <w:tcW w:w="7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13,820</w:t>
            </w:r>
          </w:p>
        </w:tc>
        <w:tc>
          <w:tcPr>
            <w:tcW w:w="20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6"/>
              </w:rPr>
              <w:t>13,980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w w:val="96"/>
              </w:rPr>
              <w:t>26,712</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6"/>
              </w:rPr>
              <w:t>26,111</w:t>
            </w:r>
          </w:p>
        </w:tc>
        <w:tc>
          <w:tcPr>
            <w:tcW w:w="0" w:type="dxa"/>
            <w:vAlign w:val="bottom"/>
          </w:tcPr>
          <w:p>
            <w:pPr>
              <w:spacing w:after="0"/>
              <w:rPr>
                <w:sz w:val="1"/>
                <w:szCs w:val="1"/>
                <w:color w:val="auto"/>
              </w:rPr>
            </w:pPr>
          </w:p>
        </w:tc>
      </w:tr>
      <w:tr>
        <w:trPr>
          <w:trHeight w:val="216"/>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13,793</w:t>
            </w:r>
          </w:p>
        </w:tc>
        <w:tc>
          <w:tcPr>
            <w:tcW w:w="2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6"/>
              </w:rPr>
              <w:t>12,287</w:t>
            </w:r>
          </w:p>
        </w:tc>
        <w:tc>
          <w:tcPr>
            <w:tcW w:w="100" w:type="dxa"/>
            <w:vAlign w:val="bottom"/>
          </w:tcPr>
          <w:p>
            <w:pPr>
              <w:spacing w:after="0"/>
              <w:rPr>
                <w:sz w:val="18"/>
                <w:szCs w:val="18"/>
                <w:color w:val="auto"/>
              </w:rPr>
            </w:pPr>
          </w:p>
        </w:tc>
        <w:tc>
          <w:tcPr>
            <w:tcW w:w="7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w w:val="96"/>
              </w:rPr>
              <w:t>28,538</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6"/>
              </w:rPr>
              <w:t>24,824</w:t>
            </w:r>
          </w:p>
        </w:tc>
        <w:tc>
          <w:tcPr>
            <w:tcW w:w="0" w:type="dxa"/>
            <w:vAlign w:val="bottom"/>
          </w:tcPr>
          <w:p>
            <w:pPr>
              <w:spacing w:after="0"/>
              <w:rPr>
                <w:sz w:val="1"/>
                <w:szCs w:val="1"/>
                <w:color w:val="auto"/>
              </w:rPr>
            </w:pPr>
          </w:p>
        </w:tc>
      </w:tr>
      <w:tr>
        <w:trPr>
          <w:trHeight w:val="27"/>
        </w:trPr>
        <w:tc>
          <w:tcPr>
            <w:tcW w:w="7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1,693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(1,826)</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1,287</w:t>
            </w:r>
          </w:p>
        </w:tc>
        <w:tc>
          <w:tcPr>
            <w:tcW w:w="0" w:type="dxa"/>
            <w:vAlign w:val="bottom"/>
          </w:tcPr>
          <w:p>
            <w:pPr>
              <w:spacing w:after="0"/>
              <w:rPr>
                <w:sz w:val="1"/>
                <w:szCs w:val="1"/>
                <w:color w:val="auto"/>
              </w:rPr>
            </w:pPr>
          </w:p>
        </w:tc>
      </w:tr>
      <w:tr>
        <w:trPr>
          <w:trHeight w:val="216"/>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100" w:type="dxa"/>
            <w:vAlign w:val="bottom"/>
          </w:tcPr>
          <w:p>
            <w:pPr>
              <w:spacing w:after="0"/>
              <w:rPr>
                <w:sz w:val="18"/>
                <w:szCs w:val="18"/>
                <w:color w:val="auto"/>
              </w:rPr>
            </w:pPr>
          </w:p>
        </w:tc>
        <w:tc>
          <w:tcPr>
            <w:tcW w:w="7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18"/>
                <w:szCs w:val="18"/>
                <w:color w:val="auto"/>
              </w:rPr>
            </w:pPr>
          </w:p>
        </w:tc>
        <w:tc>
          <w:tcPr>
            <w:tcW w:w="7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284</w:t>
            </w:r>
          </w:p>
        </w:tc>
        <w:tc>
          <w:tcPr>
            <w:tcW w:w="0" w:type="dxa"/>
            <w:vAlign w:val="bottom"/>
          </w:tcPr>
          <w:p>
            <w:pPr>
              <w:spacing w:after="0"/>
              <w:rPr>
                <w:sz w:val="1"/>
                <w:szCs w:val="1"/>
                <w:color w:val="auto"/>
              </w:rPr>
            </w:pPr>
          </w:p>
        </w:tc>
      </w:tr>
      <w:tr>
        <w:trPr>
          <w:trHeight w:val="216"/>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23"/>
        </w:trPr>
        <w:tc>
          <w:tcPr>
            <w:tcW w:w="7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1,809</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1"/>
              </w:rPr>
              <w:t>(1,552)</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297</w:t>
            </w:r>
          </w:p>
        </w:tc>
        <w:tc>
          <w:tcPr>
            <w:tcW w:w="0" w:type="dxa"/>
            <w:vAlign w:val="bottom"/>
          </w:tcPr>
          <w:p>
            <w:pPr>
              <w:spacing w:after="0"/>
              <w:rPr>
                <w:sz w:val="1"/>
                <w:szCs w:val="1"/>
                <w:color w:val="auto"/>
              </w:rPr>
            </w:pPr>
          </w:p>
        </w:tc>
      </w:tr>
      <w:tr>
        <w:trPr>
          <w:trHeight w:val="223"/>
        </w:trPr>
        <w:tc>
          <w:tcPr>
            <w:tcW w:w="7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(1,304</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(loss) per share:</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7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7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6"/>
              </w:rPr>
              <w:t>11,767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6"/>
              </w:rPr>
              <w:t>11,652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w w:val="96"/>
              </w:rPr>
              <w:t>11,760</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6"/>
              </w:rPr>
              <w:t>11,633</w:t>
            </w:r>
          </w:p>
        </w:tc>
        <w:tc>
          <w:tcPr>
            <w:tcW w:w="0" w:type="dxa"/>
            <w:vAlign w:val="bottom"/>
          </w:tcPr>
          <w:p>
            <w:pPr>
              <w:spacing w:after="0"/>
              <w:rPr>
                <w:sz w:val="1"/>
                <w:szCs w:val="1"/>
                <w:color w:val="auto"/>
              </w:rPr>
            </w:pPr>
          </w:p>
        </w:tc>
      </w:tr>
      <w:tr>
        <w:trPr>
          <w:trHeight w:val="223"/>
        </w:trPr>
        <w:tc>
          <w:tcPr>
            <w:tcW w:w="7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11,964</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11,922</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11,760</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11,915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40"/>
          </w:cols>
          <w:pgMar w:left="320" w:top="482" w:right="4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MASTECH DIGITAL,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98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44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3"/>
                <w:szCs w:val="13"/>
                <w:color w:val="auto"/>
              </w:rPr>
            </w:pPr>
          </w:p>
        </w:tc>
        <w:tc>
          <w:tcPr>
            <w:tcW w:w="1400" w:type="dxa"/>
            <w:vAlign w:val="bottom"/>
            <w:gridSpan w:val="5"/>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59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 w:type="dxa"/>
            <w:vAlign w:val="bottom"/>
          </w:tcPr>
          <w:p>
            <w:pPr>
              <w:spacing w:after="0"/>
              <w:rPr>
                <w:sz w:val="15"/>
                <w:szCs w:val="15"/>
                <w:color w:val="auto"/>
              </w:rPr>
            </w:pPr>
          </w:p>
        </w:tc>
        <w:tc>
          <w:tcPr>
            <w:tcW w:w="1400" w:type="dxa"/>
            <w:vAlign w:val="bottom"/>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42"/>
        </w:trPr>
        <w:tc>
          <w:tcPr>
            <w:tcW w:w="59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46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Borders>
              <w:top w:val="single" w:sz="8" w:color="auto"/>
            </w:tcBorders>
          </w:tcPr>
          <w:p>
            <w:pPr>
              <w:jc w:val="right"/>
              <w:ind w:right="6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jc w:val="right"/>
              <w:ind w:right="1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209"/>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$(1,304)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$1,230</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7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w:t>
            </w:r>
          </w:p>
        </w:tc>
        <w:tc>
          <w:tcPr>
            <w:tcW w:w="7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w:t>
            </w: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 other comprehensive income (loss), net of taxes</w:t>
            </w:r>
          </w:p>
        </w:tc>
        <w:tc>
          <w:tcPr>
            <w:tcW w:w="21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(23)</w:t>
            </w:r>
          </w:p>
        </w:tc>
        <w:tc>
          <w:tcPr>
            <w:tcW w:w="2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20"/>
                <w:szCs w:val="20"/>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2260" w:type="dxa"/>
            <w:vAlign w:val="bottom"/>
            <w:gridSpan w:val="2"/>
            <w:shd w:val="clear" w:color="auto" w:fill="CCEEFF"/>
          </w:tcPr>
          <w:p>
            <w:pPr>
              <w:ind w:left="21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1,392</w:t>
            </w:r>
          </w:p>
        </w:tc>
        <w:tc>
          <w:tcPr>
            <w:tcW w:w="7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(1,297)</w:t>
            </w:r>
          </w:p>
        </w:tc>
        <w:tc>
          <w:tcPr>
            <w:tcW w:w="7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1,203</w:t>
            </w:r>
          </w:p>
        </w:tc>
      </w:tr>
      <w:tr>
        <w:trPr>
          <w:trHeight w:val="20"/>
        </w:trPr>
        <w:tc>
          <w:tcPr>
            <w:tcW w:w="59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40"/>
          </w:cols>
          <w:pgMar w:left="320" w:top="482"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MASTECH DIGITAL, INC.</w:t>
      </w:r>
    </w:p>
    <w:p>
      <w:pPr>
        <w:spacing w:after="0" w:line="31"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060" w:type="dxa"/>
            <w:vAlign w:val="bottom"/>
          </w:tcPr>
          <w:p>
            <w:pPr>
              <w:spacing w:after="0"/>
              <w:rPr>
                <w:sz w:val="13"/>
                <w:szCs w:val="13"/>
                <w:color w:val="auto"/>
              </w:rPr>
            </w:pPr>
          </w:p>
        </w:tc>
        <w:tc>
          <w:tcPr>
            <w:tcW w:w="1000" w:type="dxa"/>
            <w:vAlign w:val="bottom"/>
            <w:gridSpan w:val="4"/>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90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5"/>
                <w:szCs w:val="15"/>
                <w:color w:val="auto"/>
              </w:rPr>
            </w:pPr>
          </w:p>
        </w:tc>
      </w:tr>
      <w:tr>
        <w:trPr>
          <w:trHeight w:val="196"/>
        </w:trPr>
        <w:tc>
          <w:tcPr>
            <w:tcW w:w="90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27,933</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27,742</w:t>
            </w:r>
          </w:p>
        </w:tc>
      </w:tr>
      <w:tr>
        <w:trPr>
          <w:trHeight w:val="216"/>
        </w:trPr>
        <w:tc>
          <w:tcPr>
            <w:tcW w:w="9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 of allowance for credit losses of $275 in 2025 and $311 in 2024</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22,107</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23,845</w:t>
            </w:r>
          </w:p>
        </w:tc>
      </w:tr>
      <w:tr>
        <w:trPr>
          <w:trHeight w:val="216"/>
        </w:trPr>
        <w:tc>
          <w:tcPr>
            <w:tcW w:w="9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Unbilled receivables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8,398</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7,598</w:t>
            </w:r>
          </w:p>
        </w:tc>
      </w:tr>
      <w:tr>
        <w:trPr>
          <w:trHeight w:val="216"/>
        </w:trPr>
        <w:tc>
          <w:tcPr>
            <w:tcW w:w="9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7,221</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7,020</w:t>
            </w:r>
          </w:p>
        </w:tc>
      </w:tr>
      <w:tr>
        <w:trPr>
          <w:trHeight w:val="27"/>
        </w:trPr>
        <w:tc>
          <w:tcPr>
            <w:tcW w:w="9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65,659</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66,205</w:t>
            </w:r>
          </w:p>
        </w:tc>
      </w:tr>
      <w:tr>
        <w:trPr>
          <w:trHeight w:val="216"/>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Equipment, enterprise software, and leasehold improvements, at cost:</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Equipment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3,839</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3,671</w:t>
            </w:r>
          </w:p>
        </w:tc>
      </w:tr>
      <w:tr>
        <w:trPr>
          <w:trHeight w:val="216"/>
        </w:trPr>
        <w:tc>
          <w:tcPr>
            <w:tcW w:w="9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Enterprise software</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4,185</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4,185</w:t>
            </w:r>
          </w:p>
        </w:tc>
      </w:tr>
      <w:tr>
        <w:trPr>
          <w:trHeight w:val="216"/>
        </w:trPr>
        <w:tc>
          <w:tcPr>
            <w:tcW w:w="9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Leasehold improvements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742</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742</w:t>
            </w:r>
          </w:p>
        </w:tc>
      </w:tr>
      <w:tr>
        <w:trPr>
          <w:trHeight w:val="223"/>
        </w:trPr>
        <w:tc>
          <w:tcPr>
            <w:tcW w:w="90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8,766</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8,598</w:t>
            </w:r>
          </w:p>
        </w:tc>
        <w:tc>
          <w:tcPr>
            <w:tcW w:w="120" w:type="dxa"/>
            <w:vAlign w:val="bottom"/>
          </w:tcPr>
          <w:p>
            <w:pPr>
              <w:spacing w:after="0"/>
              <w:rPr>
                <w:sz w:val="19"/>
                <w:szCs w:val="19"/>
                <w:color w:val="auto"/>
              </w:rPr>
            </w:pPr>
          </w:p>
        </w:tc>
      </w:tr>
      <w:tr>
        <w:trPr>
          <w:trHeight w:val="216"/>
        </w:trPr>
        <w:tc>
          <w:tcPr>
            <w:tcW w:w="9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 accumulated depreciation and amortization</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(6,973)</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(6,600)</w:t>
            </w:r>
          </w:p>
        </w:tc>
      </w:tr>
      <w:tr>
        <w:trPr>
          <w:trHeight w:val="223"/>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Net equipment, enterprise software, and leasehold improvements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1,793</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1,998</w:t>
            </w:r>
          </w:p>
        </w:tc>
        <w:tc>
          <w:tcPr>
            <w:tcW w:w="120" w:type="dxa"/>
            <w:vAlign w:val="bottom"/>
          </w:tcPr>
          <w:p>
            <w:pPr>
              <w:spacing w:after="0"/>
              <w:rPr>
                <w:sz w:val="19"/>
                <w:szCs w:val="19"/>
                <w:color w:val="auto"/>
              </w:rPr>
            </w:pPr>
          </w:p>
        </w:tc>
      </w:tr>
      <w:tr>
        <w:trPr>
          <w:trHeight w:val="216"/>
        </w:trPr>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3,192</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3,832</w:t>
            </w:r>
          </w:p>
        </w:tc>
      </w:tr>
      <w:tr>
        <w:trPr>
          <w:trHeight w:val="216"/>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1,674</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1,298</w:t>
            </w:r>
          </w:p>
        </w:tc>
      </w:tr>
      <w:tr>
        <w:trPr>
          <w:trHeight w:val="216"/>
        </w:trPr>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financing costs, net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142</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189</w:t>
            </w:r>
          </w:p>
        </w:tc>
      </w:tr>
      <w:tr>
        <w:trPr>
          <w:trHeight w:val="216"/>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Deferred compensation, net</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1,250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deposits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463</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444</w:t>
            </w:r>
          </w:p>
        </w:tc>
      </w:tr>
      <w:tr>
        <w:trPr>
          <w:trHeight w:val="216"/>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Goodwill, net of impairment</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27,210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27,210</w:t>
            </w:r>
          </w:p>
        </w:tc>
      </w:tr>
      <w:tr>
        <w:trPr>
          <w:trHeight w:val="216"/>
        </w:trPr>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 of amortization</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9,009</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10,308</w:t>
            </w:r>
          </w:p>
        </w:tc>
      </w:tr>
      <w:tr>
        <w:trPr>
          <w:trHeight w:val="223"/>
        </w:trPr>
        <w:tc>
          <w:tcPr>
            <w:tcW w:w="9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110,392</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111,484</w:t>
            </w:r>
          </w:p>
        </w:tc>
        <w:tc>
          <w:tcPr>
            <w:tcW w:w="120" w:type="dxa"/>
            <w:vAlign w:val="bottom"/>
          </w:tcPr>
          <w:p>
            <w:pPr>
              <w:spacing w:after="0"/>
              <w:rPr>
                <w:sz w:val="19"/>
                <w:szCs w:val="19"/>
                <w:color w:val="auto"/>
              </w:rPr>
            </w:pPr>
          </w:p>
        </w:tc>
      </w:tr>
      <w:tr>
        <w:trPr>
          <w:trHeight w:val="20"/>
        </w:trPr>
        <w:tc>
          <w:tcPr>
            <w:tcW w:w="9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3,564</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4,683</w:t>
            </w:r>
          </w:p>
        </w:tc>
      </w:tr>
      <w:tr>
        <w:trPr>
          <w:trHeight w:val="216"/>
        </w:trPr>
        <w:tc>
          <w:tcPr>
            <w:tcW w:w="9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payroll and related costs</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13,693</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13,750</w:t>
            </w:r>
          </w:p>
        </w:tc>
      </w:tr>
      <w:tr>
        <w:trPr>
          <w:trHeight w:val="216"/>
        </w:trPr>
        <w:tc>
          <w:tcPr>
            <w:tcW w:w="9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portion of operating lease liability</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1,313</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1,265</w:t>
            </w:r>
          </w:p>
        </w:tc>
      </w:tr>
      <w:tr>
        <w:trPr>
          <w:trHeight w:val="216"/>
        </w:trPr>
        <w:tc>
          <w:tcPr>
            <w:tcW w:w="9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861</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550</w:t>
            </w:r>
          </w:p>
        </w:tc>
      </w:tr>
      <w:tr>
        <w:trPr>
          <w:trHeight w:val="216"/>
        </w:trPr>
        <w:tc>
          <w:tcPr>
            <w:tcW w:w="9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287</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329</w:t>
            </w:r>
          </w:p>
        </w:tc>
      </w:tr>
      <w:tr>
        <w:trPr>
          <w:trHeight w:val="230"/>
        </w:trPr>
        <w:tc>
          <w:tcPr>
            <w:tcW w:w="9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19,718</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20,577</w:t>
            </w:r>
          </w:p>
        </w:tc>
        <w:tc>
          <w:tcPr>
            <w:tcW w:w="120" w:type="dxa"/>
            <w:vAlign w:val="bottom"/>
          </w:tcPr>
          <w:p>
            <w:pPr>
              <w:spacing w:after="0"/>
              <w:rPr>
                <w:sz w:val="20"/>
                <w:szCs w:val="20"/>
                <w:color w:val="auto"/>
              </w:rPr>
            </w:pPr>
          </w:p>
        </w:tc>
      </w:tr>
      <w:tr>
        <w:trPr>
          <w:trHeight w:val="216"/>
        </w:trPr>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Long-term operating lease liability, less current portion</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1,825</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2,486</w:t>
            </w:r>
          </w:p>
        </w:tc>
      </w:tr>
      <w:tr>
        <w:trPr>
          <w:trHeight w:val="216"/>
        </w:trPr>
        <w:tc>
          <w:tcPr>
            <w:tcW w:w="9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Long-term severance liability</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1,039</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987</w:t>
            </w:r>
          </w:p>
        </w:tc>
      </w:tr>
      <w:tr>
        <w:trPr>
          <w:trHeight w:val="230"/>
        </w:trPr>
        <w:tc>
          <w:tcPr>
            <w:tcW w:w="9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22,582</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24,050</w:t>
            </w:r>
          </w:p>
        </w:tc>
        <w:tc>
          <w:tcPr>
            <w:tcW w:w="120" w:type="dxa"/>
            <w:vAlign w:val="bottom"/>
          </w:tcPr>
          <w:p>
            <w:pPr>
              <w:spacing w:after="0"/>
              <w:rPr>
                <w:sz w:val="20"/>
                <w:szCs w:val="20"/>
                <w:color w:val="auto"/>
              </w:rPr>
            </w:pPr>
          </w:p>
        </w:tc>
      </w:tr>
      <w:tr>
        <w:trPr>
          <w:trHeight w:val="216"/>
        </w:trPr>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contingent liabilities (Note 5)</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Preferred Stock, no par value; 20,000,000 shares authorized; none outstanding</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198"/>
        </w:trPr>
        <w:tc>
          <w:tcPr>
            <w:tcW w:w="906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Common Stock, par value $.01; 100,000,000 shares authorized and 13,510,932 shares issued as of June 30, 2025 and</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90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13,444,712 shares issued as of December 31, 2024</w:t>
            </w:r>
          </w:p>
        </w:tc>
        <w:tc>
          <w:tcPr>
            <w:tcW w:w="100" w:type="dxa"/>
            <w:vAlign w:val="bottom"/>
          </w:tcPr>
          <w:p>
            <w:pPr>
              <w:spacing w:after="0"/>
              <w:rPr>
                <w:sz w:val="20"/>
                <w:szCs w:val="20"/>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135</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135</w:t>
            </w:r>
          </w:p>
        </w:tc>
      </w:tr>
      <w:tr>
        <w:trPr>
          <w:trHeight w:val="216"/>
        </w:trPr>
        <w:tc>
          <w:tcPr>
            <w:tcW w:w="9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paid-in-capital</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40,064</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38,277</w:t>
            </w:r>
          </w:p>
        </w:tc>
      </w:tr>
      <w:tr>
        <w:trPr>
          <w:trHeight w:val="216"/>
        </w:trPr>
        <w:tc>
          <w:tcPr>
            <w:tcW w:w="9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54,513</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55,817</w:t>
            </w:r>
          </w:p>
        </w:tc>
      </w:tr>
      <w:tr>
        <w:trPr>
          <w:trHeight w:val="216"/>
        </w:trPr>
        <w:tc>
          <w:tcPr>
            <w:tcW w:w="9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(1,903)</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(1,910)</w:t>
            </w:r>
          </w:p>
        </w:tc>
      </w:tr>
      <w:tr>
        <w:trPr>
          <w:trHeight w:val="216"/>
        </w:trPr>
        <w:tc>
          <w:tcPr>
            <w:tcW w:w="9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Treasury stock, at cost; 1,739,852 shares as of June 30, 2025 and 1,723,341 shares as of December 31, 2024</w:t>
            </w:r>
          </w:p>
        </w:tc>
        <w:tc>
          <w:tcPr>
            <w:tcW w:w="100" w:type="dxa"/>
            <w:vAlign w:val="bottom"/>
          </w:tcPr>
          <w:p>
            <w:pPr>
              <w:spacing w:after="0"/>
              <w:rPr>
                <w:sz w:val="18"/>
                <w:szCs w:val="18"/>
                <w:color w:val="auto"/>
              </w:rPr>
            </w:pPr>
          </w:p>
        </w:tc>
        <w:tc>
          <w:tcPr>
            <w:tcW w:w="9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(4,999)</w:t>
            </w: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(4,885)</w:t>
            </w:r>
          </w:p>
        </w:tc>
      </w:tr>
      <w:tr>
        <w:trPr>
          <w:trHeight w:val="27"/>
        </w:trPr>
        <w:tc>
          <w:tcPr>
            <w:tcW w:w="9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87,810</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87,434</w:t>
            </w:r>
          </w:p>
        </w:tc>
      </w:tr>
      <w:tr>
        <w:trPr>
          <w:trHeight w:val="223"/>
        </w:trPr>
        <w:tc>
          <w:tcPr>
            <w:tcW w:w="9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110,392</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111,484</w:t>
            </w:r>
          </w:p>
        </w:tc>
        <w:tc>
          <w:tcPr>
            <w:tcW w:w="120" w:type="dxa"/>
            <w:vAlign w:val="bottom"/>
          </w:tcPr>
          <w:p>
            <w:pPr>
              <w:spacing w:after="0"/>
              <w:rPr>
                <w:sz w:val="19"/>
                <w:szCs w:val="19"/>
                <w:color w:val="auto"/>
              </w:rPr>
            </w:pPr>
          </w:p>
        </w:tc>
      </w:tr>
      <w:tr>
        <w:trPr>
          <w:trHeight w:val="20"/>
        </w:trPr>
        <w:tc>
          <w:tcPr>
            <w:tcW w:w="9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40"/>
          </w:cols>
          <w:pgMar w:left="320" w:top="482"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MASTECH DIGITAL,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3"/>
                <w:szCs w:val="13"/>
                <w:color w:val="auto"/>
              </w:rPr>
            </w:pPr>
          </w:p>
        </w:tc>
        <w:tc>
          <w:tcPr>
            <w:tcW w:w="8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84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920" w:type="dxa"/>
            <w:vAlign w:val="bottom"/>
            <w:gridSpan w:val="2"/>
            <w:vMerge w:val="continue"/>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vMerge w:val="restart"/>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right"/>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840" w:type="dxa"/>
            <w:vAlign w:val="bottom"/>
            <w:gridSpan w:val="4"/>
            <w:vMerge w:val="continue"/>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2"/>
                <w:szCs w:val="12"/>
                <w:color w:val="auto"/>
              </w:rPr>
            </w:pPr>
          </w:p>
        </w:tc>
        <w:tc>
          <w:tcPr>
            <w:tcW w:w="8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73"/>
        </w:trPr>
        <w:tc>
          <w:tcPr>
            <w:tcW w:w="5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5"/>
                <w:szCs w:val="15"/>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5"/>
                <w:szCs w:val="15"/>
                <w:color w:val="auto"/>
              </w:rPr>
            </w:pPr>
          </w:p>
        </w:tc>
        <w:tc>
          <w:tcPr>
            <w:tcW w:w="740" w:type="dxa"/>
            <w:vAlign w:val="bottom"/>
            <w:gridSpan w:val="2"/>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5"/>
                <w:szCs w:val="15"/>
                <w:color w:val="auto"/>
              </w:rPr>
            </w:pPr>
          </w:p>
        </w:tc>
        <w:tc>
          <w:tcPr>
            <w:tcW w:w="126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60" w:type="dxa"/>
            <w:vAlign w:val="bottom"/>
          </w:tcPr>
          <w:p>
            <w:pPr>
              <w:spacing w:after="0"/>
              <w:rPr>
                <w:sz w:val="15"/>
                <w:szCs w:val="15"/>
                <w:color w:val="auto"/>
              </w:rPr>
            </w:pPr>
          </w:p>
        </w:tc>
        <w:tc>
          <w:tcPr>
            <w:tcW w:w="8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9"/>
        </w:trPr>
        <w:tc>
          <w:tcPr>
            <w:tcW w:w="5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December 31, 2024</w:t>
            </w: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88"/>
              </w:rPr>
              <w:t>135</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$ 38,277</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55,817</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$(4,885)</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87,434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Pr>
          <w:p>
            <w:pPr>
              <w:spacing w:after="0"/>
              <w:rPr>
                <w:sz w:val="18"/>
                <w:szCs w:val="18"/>
                <w:color w:val="auto"/>
              </w:rPr>
            </w:pPr>
          </w:p>
        </w:tc>
        <w:tc>
          <w:tcPr>
            <w:tcW w:w="7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(1,439)</w:t>
            </w:r>
          </w:p>
        </w:tc>
        <w:tc>
          <w:tcPr>
            <w:tcW w:w="120" w:type="dxa"/>
            <w:vAlign w:val="bottom"/>
          </w:tcPr>
          <w:p>
            <w:pPr>
              <w:spacing w:after="0"/>
              <w:rPr>
                <w:sz w:val="18"/>
                <w:szCs w:val="18"/>
                <w:color w:val="auto"/>
              </w:rPr>
            </w:pPr>
          </w:p>
        </w:tc>
        <w:tc>
          <w:tcPr>
            <w:tcW w:w="7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(1,439)</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gain, net of taxes</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0" w:type="dxa"/>
            <w:vAlign w:val="bottom"/>
          </w:tcPr>
          <w:p>
            <w:pPr>
              <w:spacing w:after="0"/>
              <w:rPr>
                <w:sz w:val="18"/>
                <w:szCs w:val="18"/>
                <w:color w:val="auto"/>
              </w:rPr>
            </w:pPr>
          </w:p>
        </w:tc>
        <w:tc>
          <w:tcPr>
            <w:tcW w:w="7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895</w:t>
            </w:r>
          </w:p>
        </w:tc>
        <w:tc>
          <w:tcPr>
            <w:tcW w:w="120" w:type="dxa"/>
            <w:vAlign w:val="bottom"/>
          </w:tcPr>
          <w:p>
            <w:pPr>
              <w:spacing w:after="0"/>
              <w:rPr>
                <w:sz w:val="18"/>
                <w:szCs w:val="18"/>
                <w:color w:val="auto"/>
              </w:rPr>
            </w:pPr>
          </w:p>
        </w:tc>
        <w:tc>
          <w:tcPr>
            <w:tcW w:w="8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7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895</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 exercised</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3"/>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Balances, March 31, 2025</w:t>
            </w: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w w:val="88"/>
              </w:rPr>
              <w:t>135</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$ 39,199</w:t>
            </w: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54,378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(4,885</w:t>
            </w:r>
          </w:p>
        </w:tc>
        <w:tc>
          <w:tcPr>
            <w:tcW w:w="1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(1,880)</w:t>
            </w: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Employee common stock purchases</w:t>
            </w:r>
          </w:p>
        </w:tc>
        <w:tc>
          <w:tcPr>
            <w:tcW w:w="100" w:type="dxa"/>
            <w:vAlign w:val="bottom"/>
          </w:tcPr>
          <w:p>
            <w:pPr>
              <w:spacing w:after="0"/>
              <w:rPr>
                <w:sz w:val="18"/>
                <w:szCs w:val="18"/>
                <w:color w:val="auto"/>
              </w:rPr>
            </w:pPr>
          </w:p>
        </w:tc>
        <w:tc>
          <w:tcPr>
            <w:tcW w:w="7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spacing w:after="0"/>
              <w:rPr>
                <w:sz w:val="18"/>
                <w:szCs w:val="18"/>
                <w:color w:val="auto"/>
              </w:rPr>
            </w:pPr>
          </w:p>
        </w:tc>
        <w:tc>
          <w:tcPr>
            <w:tcW w:w="8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7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gain, net of taxes</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0" w:type="dxa"/>
            <w:vAlign w:val="bottom"/>
          </w:tcPr>
          <w:p>
            <w:pPr>
              <w:spacing w:after="0"/>
              <w:rPr>
                <w:sz w:val="18"/>
                <w:szCs w:val="18"/>
                <w:color w:val="auto"/>
              </w:rPr>
            </w:pPr>
          </w:p>
        </w:tc>
        <w:tc>
          <w:tcPr>
            <w:tcW w:w="7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714</w:t>
            </w:r>
          </w:p>
        </w:tc>
        <w:tc>
          <w:tcPr>
            <w:tcW w:w="120" w:type="dxa"/>
            <w:vAlign w:val="bottom"/>
          </w:tcPr>
          <w:p>
            <w:pPr>
              <w:spacing w:after="0"/>
              <w:rPr>
                <w:sz w:val="18"/>
                <w:szCs w:val="18"/>
                <w:color w:val="auto"/>
              </w:rPr>
            </w:pPr>
          </w:p>
        </w:tc>
        <w:tc>
          <w:tcPr>
            <w:tcW w:w="8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7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714</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 exercised</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Shares repurchased</w:t>
            </w:r>
          </w:p>
        </w:tc>
        <w:tc>
          <w:tcPr>
            <w:tcW w:w="10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88"/>
              </w:rPr>
              <w:t>— </w:t>
            </w:r>
          </w:p>
        </w:tc>
        <w:tc>
          <w:tcPr>
            <w:tcW w:w="260" w:type="dxa"/>
            <w:vAlign w:val="bottom"/>
            <w:gridSpan w:val="2"/>
          </w:tcPr>
          <w:p>
            <w:pPr>
              <w:spacing w:after="0"/>
              <w:rPr>
                <w:sz w:val="18"/>
                <w:szCs w:val="18"/>
                <w:color w:val="auto"/>
              </w:rPr>
            </w:pPr>
          </w:p>
        </w:tc>
        <w:tc>
          <w:tcPr>
            <w:tcW w:w="66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88"/>
              </w:rPr>
              <w:t>— </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June 30, 2025</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88"/>
              </w:rPr>
              <w:t>135</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$ 40,064</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54,513</w:t>
            </w:r>
          </w:p>
        </w:tc>
        <w:tc>
          <w:tcPr>
            <w:tcW w:w="86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(4,999)</w:t>
            </w:r>
          </w:p>
        </w:tc>
        <w:tc>
          <w:tcPr>
            <w:tcW w:w="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(1,903)</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87,810</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5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24"/>
                <w:szCs w:val="24"/>
                <w:color w:val="auto"/>
              </w:rPr>
            </w:pPr>
          </w:p>
        </w:tc>
        <w:tc>
          <w:tcPr>
            <w:tcW w:w="8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84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920" w:type="dxa"/>
            <w:vAlign w:val="bottom"/>
            <w:gridSpan w:val="2"/>
            <w:vMerge w:val="continue"/>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vMerge w:val="restart"/>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right"/>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840" w:type="dxa"/>
            <w:vAlign w:val="bottom"/>
            <w:gridSpan w:val="4"/>
            <w:vMerge w:val="continue"/>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2"/>
                <w:szCs w:val="12"/>
                <w:color w:val="auto"/>
              </w:rPr>
            </w:pPr>
          </w:p>
        </w:tc>
        <w:tc>
          <w:tcPr>
            <w:tcW w:w="8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73"/>
        </w:trPr>
        <w:tc>
          <w:tcPr>
            <w:tcW w:w="5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5"/>
                <w:szCs w:val="15"/>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5"/>
                <w:szCs w:val="15"/>
                <w:color w:val="auto"/>
              </w:rPr>
            </w:pPr>
          </w:p>
        </w:tc>
        <w:tc>
          <w:tcPr>
            <w:tcW w:w="740" w:type="dxa"/>
            <w:vAlign w:val="bottom"/>
            <w:gridSpan w:val="2"/>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5"/>
                <w:szCs w:val="15"/>
                <w:color w:val="auto"/>
              </w:rPr>
            </w:pPr>
          </w:p>
        </w:tc>
        <w:tc>
          <w:tcPr>
            <w:tcW w:w="126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60" w:type="dxa"/>
            <w:vAlign w:val="bottom"/>
          </w:tcPr>
          <w:p>
            <w:pPr>
              <w:spacing w:after="0"/>
              <w:rPr>
                <w:sz w:val="15"/>
                <w:szCs w:val="15"/>
                <w:color w:val="auto"/>
              </w:rPr>
            </w:pPr>
          </w:p>
        </w:tc>
        <w:tc>
          <w:tcPr>
            <w:tcW w:w="8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9"/>
        </w:trPr>
        <w:tc>
          <w:tcPr>
            <w:tcW w:w="5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December 31, 2023</w:t>
            </w: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88"/>
              </w:rPr>
              <w:t>133</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$ 35,345</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52,415</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$(4,805)</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81,444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Pr>
          <w:p>
            <w:pPr>
              <w:spacing w:after="0"/>
              <w:rPr>
                <w:sz w:val="18"/>
                <w:szCs w:val="18"/>
                <w:color w:val="auto"/>
              </w:rPr>
            </w:pPr>
          </w:p>
        </w:tc>
        <w:tc>
          <w:tcPr>
            <w:tcW w:w="7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(161)</w:t>
            </w:r>
          </w:p>
        </w:tc>
        <w:tc>
          <w:tcPr>
            <w:tcW w:w="120" w:type="dxa"/>
            <w:vAlign w:val="bottom"/>
          </w:tcPr>
          <w:p>
            <w:pPr>
              <w:spacing w:after="0"/>
              <w:rPr>
                <w:sz w:val="18"/>
                <w:szCs w:val="18"/>
                <w:color w:val="auto"/>
              </w:rPr>
            </w:pPr>
          </w:p>
        </w:tc>
        <w:tc>
          <w:tcPr>
            <w:tcW w:w="7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 net of taxes</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0" w:type="dxa"/>
            <w:vAlign w:val="bottom"/>
          </w:tcPr>
          <w:p>
            <w:pPr>
              <w:spacing w:after="0"/>
              <w:rPr>
                <w:sz w:val="18"/>
                <w:szCs w:val="18"/>
                <w:color w:val="auto"/>
              </w:rPr>
            </w:pPr>
          </w:p>
        </w:tc>
        <w:tc>
          <w:tcPr>
            <w:tcW w:w="7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550</w:t>
            </w:r>
          </w:p>
        </w:tc>
        <w:tc>
          <w:tcPr>
            <w:tcW w:w="120" w:type="dxa"/>
            <w:vAlign w:val="bottom"/>
          </w:tcPr>
          <w:p>
            <w:pPr>
              <w:spacing w:after="0"/>
              <w:rPr>
                <w:sz w:val="18"/>
                <w:szCs w:val="18"/>
                <w:color w:val="auto"/>
              </w:rPr>
            </w:pPr>
          </w:p>
        </w:tc>
        <w:tc>
          <w:tcPr>
            <w:tcW w:w="8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7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550</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repurchased</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23"/>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Balances, March 31, 2024</w:t>
            </w: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w w:val="88"/>
              </w:rPr>
              <w:t>133</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$ 35,895</w:t>
            </w: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52,254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(4,885</w:t>
            </w:r>
          </w:p>
        </w:tc>
        <w:tc>
          <w:tcPr>
            <w:tcW w:w="1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(1,672)</w:t>
            </w: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1,391</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1,391</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Employee common stock purchases</w:t>
            </w:r>
          </w:p>
        </w:tc>
        <w:tc>
          <w:tcPr>
            <w:tcW w:w="100" w:type="dxa"/>
            <w:vAlign w:val="bottom"/>
          </w:tcPr>
          <w:p>
            <w:pPr>
              <w:spacing w:after="0"/>
              <w:rPr>
                <w:sz w:val="18"/>
                <w:szCs w:val="18"/>
                <w:color w:val="auto"/>
              </w:rPr>
            </w:pPr>
          </w:p>
        </w:tc>
        <w:tc>
          <w:tcPr>
            <w:tcW w:w="7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tcPr>
          <w:p>
            <w:pPr>
              <w:spacing w:after="0"/>
              <w:rPr>
                <w:sz w:val="18"/>
                <w:szCs w:val="18"/>
                <w:color w:val="auto"/>
              </w:rPr>
            </w:pPr>
          </w:p>
        </w:tc>
        <w:tc>
          <w:tcPr>
            <w:tcW w:w="8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7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gain, net of taxes</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0" w:type="dxa"/>
            <w:vAlign w:val="bottom"/>
          </w:tcPr>
          <w:p>
            <w:pPr>
              <w:spacing w:after="0"/>
              <w:rPr>
                <w:sz w:val="18"/>
                <w:szCs w:val="18"/>
                <w:color w:val="auto"/>
              </w:rPr>
            </w:pPr>
          </w:p>
        </w:tc>
        <w:tc>
          <w:tcPr>
            <w:tcW w:w="7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461</w:t>
            </w:r>
          </w:p>
        </w:tc>
        <w:tc>
          <w:tcPr>
            <w:tcW w:w="120" w:type="dxa"/>
            <w:vAlign w:val="bottom"/>
          </w:tcPr>
          <w:p>
            <w:pPr>
              <w:spacing w:after="0"/>
              <w:rPr>
                <w:sz w:val="18"/>
                <w:szCs w:val="18"/>
                <w:color w:val="auto"/>
              </w:rPr>
            </w:pPr>
          </w:p>
        </w:tc>
        <w:tc>
          <w:tcPr>
            <w:tcW w:w="8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7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461</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 exercised</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88"/>
              </w:rPr>
              <w:t>1</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322</w:t>
            </w:r>
          </w:p>
        </w:tc>
        <w:tc>
          <w:tcPr>
            <w:tcW w:w="0" w:type="dxa"/>
            <w:vAlign w:val="bottom"/>
          </w:tcPr>
          <w:p>
            <w:pPr>
              <w:spacing w:after="0"/>
              <w:rPr>
                <w:sz w:val="1"/>
                <w:szCs w:val="1"/>
                <w:color w:val="auto"/>
              </w:rPr>
            </w:pPr>
          </w:p>
        </w:tc>
      </w:tr>
      <w:tr>
        <w:trPr>
          <w:trHeight w:val="223"/>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Balances, June 30, 2024</w:t>
            </w: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w w:val="88"/>
              </w:rPr>
              <w:t>134</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$ 36,813</w:t>
            </w: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53,645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(4,885</w:t>
            </w:r>
          </w:p>
        </w:tc>
        <w:tc>
          <w:tcPr>
            <w:tcW w:w="1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(1,671)</w:t>
            </w: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40"/>
          </w:cols>
          <w:pgMar w:left="320" w:top="482"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MASTECH DIGITAL,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p>
      <w:pPr>
        <w:jc w:val="center"/>
        <w:ind w:left="9380"/>
        <w:spacing w:after="0"/>
        <w:rPr>
          <w:sz w:val="20"/>
          <w:szCs w:val="20"/>
          <w:color w:val="auto"/>
        </w:rPr>
      </w:pPr>
      <w:r>
        <w:rPr>
          <w:rFonts w:ascii="Times New Roman" w:cs="Times New Roman" w:eastAsia="Times New Roman" w:hAnsi="Times New Roman"/>
          <w:sz w:val="14"/>
          <w:szCs w:val="14"/>
          <w:b w:val="1"/>
          <w:bCs w:val="1"/>
          <w:color w:val="auto"/>
        </w:rPr>
        <w:t>Six Months Ended</w:t>
      </w:r>
    </w:p>
    <w:p>
      <w:pPr>
        <w:jc w:val="center"/>
        <w:ind w:left="9380"/>
        <w:spacing w:after="0"/>
        <w:rPr>
          <w:sz w:val="20"/>
          <w:szCs w:val="20"/>
          <w:color w:val="auto"/>
        </w:rPr>
      </w:pPr>
      <w:r>
        <w:rPr>
          <w:rFonts w:ascii="Times New Roman" w:cs="Times New Roman" w:eastAsia="Times New Roman" w:hAnsi="Times New Roman"/>
          <w:sz w:val="14"/>
          <w:szCs w:val="14"/>
          <w:b w:val="1"/>
          <w:bCs w:val="1"/>
          <w:color w:val="auto"/>
        </w:rPr>
        <w:t>June 30,</w:t>
      </w:r>
    </w:p>
    <w:tbl>
      <w:tblPr>
        <w:tblLayout w:type="fixed"/>
        <w:tblInd w:w="120" w:type="dxa"/>
        <w:tblCellMar>
          <w:top w:w="0" w:type="dxa"/>
          <w:left w:w="0" w:type="dxa"/>
          <w:bottom w:w="0" w:type="dxa"/>
          <w:right w:w="0" w:type="dxa"/>
        </w:tblCellMar>
      </w:tblPr>
      <w:tr>
        <w:trPr>
          <w:trHeight w:val="142"/>
        </w:trPr>
        <w:tc>
          <w:tcPr>
            <w:tcW w:w="950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2"/>
                <w:szCs w:val="12"/>
                <w:color w:val="auto"/>
              </w:rPr>
            </w:pPr>
          </w:p>
        </w:tc>
      </w:tr>
      <w:tr>
        <w:trPr>
          <w:trHeight w:val="196"/>
        </w:trPr>
        <w:tc>
          <w:tcPr>
            <w:tcW w:w="95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ACTIVITIES:</w:t>
            </w: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9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 (loss)</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6"/>
              </w:rPr>
              <w:t>$ (1,304)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1,230</w:t>
            </w:r>
          </w:p>
        </w:tc>
      </w:tr>
      <w:tr>
        <w:trPr>
          <w:trHeight w:val="216"/>
        </w:trPr>
        <w:tc>
          <w:tcPr>
            <w:tcW w:w="9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 to reconcile net income (loss) to cash provided by (used in) operating activities:</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5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1,673</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1,805</w:t>
            </w:r>
          </w:p>
        </w:tc>
      </w:tr>
      <w:tr>
        <w:trPr>
          <w:trHeight w:val="216"/>
        </w:trPr>
        <w:tc>
          <w:tcPr>
            <w:tcW w:w="95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Bad debt expense</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95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Interest amortization of deferred financing costs</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95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1,609</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1,011</w:t>
            </w:r>
          </w:p>
        </w:tc>
      </w:tr>
      <w:tr>
        <w:trPr>
          <w:trHeight w:val="216"/>
        </w:trPr>
        <w:tc>
          <w:tcPr>
            <w:tcW w:w="95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132</w:t>
            </w:r>
          </w:p>
        </w:tc>
      </w:tr>
      <w:tr>
        <w:trPr>
          <w:trHeight w:val="216"/>
        </w:trPr>
        <w:tc>
          <w:tcPr>
            <w:tcW w:w="95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Operating lease assets and liabilities, net</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95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Amortization of deferred compensation</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95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Long-term severance liability</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95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Payment of deferred compensation</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95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Loss on disposition of fixed assets</w:t>
            </w: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95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Long term accrued income taxes</w:t>
            </w: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9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Working capital items:</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5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Accounts receivable and unbilled receivables</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902</w:t>
            </w: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(2,736)</w:t>
            </w:r>
          </w:p>
        </w:tc>
      </w:tr>
      <w:tr>
        <w:trPr>
          <w:trHeight w:val="216"/>
        </w:trPr>
        <w:tc>
          <w:tcPr>
            <w:tcW w:w="95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(1,893)</w:t>
            </w:r>
          </w:p>
        </w:tc>
      </w:tr>
      <w:tr>
        <w:trPr>
          <w:trHeight w:val="216"/>
        </w:trPr>
        <w:tc>
          <w:tcPr>
            <w:tcW w:w="95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Accounts payable</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(1,119)</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1,133</w:t>
            </w:r>
          </w:p>
        </w:tc>
      </w:tr>
      <w:tr>
        <w:trPr>
          <w:trHeight w:val="216"/>
        </w:trPr>
        <w:tc>
          <w:tcPr>
            <w:tcW w:w="95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Accrued payroll and related costs</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(1,001)</w:t>
            </w:r>
          </w:p>
        </w:tc>
      </w:tr>
      <w:tr>
        <w:trPr>
          <w:trHeight w:val="216"/>
        </w:trPr>
        <w:tc>
          <w:tcPr>
            <w:tcW w:w="95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95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Deferred revenue</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269</w:t>
            </w:r>
          </w:p>
        </w:tc>
      </w:tr>
      <w:tr>
        <w:trPr>
          <w:trHeight w:val="230"/>
        </w:trPr>
        <w:tc>
          <w:tcPr>
            <w:tcW w:w="950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Net cash flows provided by (used in) operating activities</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tcPr>
          <w:p>
            <w:pPr>
              <w:spacing w:after="0"/>
              <w:rPr>
                <w:sz w:val="20"/>
                <w:szCs w:val="20"/>
                <w:color w:val="auto"/>
              </w:rPr>
            </w:pPr>
          </w:p>
        </w:tc>
      </w:tr>
      <w:tr>
        <w:trPr>
          <w:trHeight w:val="216"/>
        </w:trPr>
        <w:tc>
          <w:tcPr>
            <w:tcW w:w="9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Recovery of (payment for) non-current deposits</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9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Capital expenditures</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(752)</w:t>
            </w:r>
          </w:p>
        </w:tc>
      </w:tr>
      <w:tr>
        <w:trPr>
          <w:trHeight w:val="230"/>
        </w:trPr>
        <w:tc>
          <w:tcPr>
            <w:tcW w:w="950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Net cash flows (used in) investing activities</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20" w:type="dxa"/>
            <w:vAlign w:val="bottom"/>
          </w:tcPr>
          <w:p>
            <w:pPr>
              <w:spacing w:after="0"/>
              <w:rPr>
                <w:sz w:val="20"/>
                <w:szCs w:val="20"/>
                <w:color w:val="auto"/>
              </w:rPr>
            </w:pPr>
          </w:p>
        </w:tc>
      </w:tr>
      <w:tr>
        <w:trPr>
          <w:trHeight w:val="216"/>
        </w:trPr>
        <w:tc>
          <w:tcPr>
            <w:tcW w:w="9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the issuance of common shares</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136</w:t>
            </w:r>
          </w:p>
        </w:tc>
      </w:tr>
      <w:tr>
        <w:trPr>
          <w:trHeight w:val="216"/>
        </w:trPr>
        <w:tc>
          <w:tcPr>
            <w:tcW w:w="9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9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the exercise of stock options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322</w:t>
            </w:r>
          </w:p>
        </w:tc>
      </w:tr>
      <w:tr>
        <w:trPr>
          <w:trHeight w:val="27"/>
        </w:trPr>
        <w:tc>
          <w:tcPr>
            <w:tcW w:w="95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50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Net cash flows provided by financing activities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378</w:t>
            </w:r>
          </w:p>
        </w:tc>
      </w:tr>
      <w:tr>
        <w:trPr>
          <w:trHeight w:val="230"/>
        </w:trPr>
        <w:tc>
          <w:tcPr>
            <w:tcW w:w="950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0"/>
                <w:szCs w:val="20"/>
                <w:color w:val="auto"/>
              </w:rPr>
            </w:pPr>
          </w:p>
        </w:tc>
      </w:tr>
      <w:tr>
        <w:trPr>
          <w:trHeight w:val="216"/>
        </w:trPr>
        <w:tc>
          <w:tcPr>
            <w:tcW w:w="9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(560)</w:t>
            </w:r>
          </w:p>
        </w:tc>
      </w:tr>
      <w:tr>
        <w:trPr>
          <w:trHeight w:val="216"/>
        </w:trPr>
        <w:tc>
          <w:tcPr>
            <w:tcW w:w="95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27,742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6"/>
              </w:rPr>
              <w:t>21,147</w:t>
            </w:r>
          </w:p>
        </w:tc>
      </w:tr>
      <w:tr>
        <w:trPr>
          <w:trHeight w:val="27"/>
        </w:trPr>
        <w:tc>
          <w:tcPr>
            <w:tcW w:w="95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27,933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6"/>
              </w:rPr>
              <w:t>20,587</w:t>
            </w:r>
          </w:p>
        </w:tc>
      </w:tr>
      <w:tr>
        <w:trPr>
          <w:trHeight w:val="20"/>
        </w:trPr>
        <w:tc>
          <w:tcPr>
            <w:tcW w:w="95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40"/>
          </w:cols>
          <w:pgMar w:left="320" w:top="482"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MASTECH DIGITAL,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JUNE 30, 2025 AND 2024</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ind w:left="560" w:right="6720" w:hanging="444"/>
        <w:spacing w:after="0" w:line="377" w:lineRule="auto"/>
        <w:tabs>
          <w:tab w:leader="none" w:pos="552"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Description of Business and Basis of Presentation: </w:t>
      </w:r>
      <w:r>
        <w:rPr>
          <w:rFonts w:ascii="Times New Roman" w:cs="Times New Roman" w:eastAsia="Times New Roman" w:hAnsi="Times New Roman"/>
          <w:sz w:val="18"/>
          <w:szCs w:val="18"/>
          <w:b w:val="1"/>
          <w:bCs w:val="1"/>
          <w:i w:val="1"/>
          <w:iCs w:val="1"/>
          <w:color w:val="auto"/>
        </w:rPr>
        <w:t>Basis of Presentation</w:t>
      </w:r>
    </w:p>
    <w:p>
      <w:pPr>
        <w:spacing w:after="0" w:line="2"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References in this Quarterly Report on Form 10-Q to “we”, “our”, “Mastech Digital”, “Mastech” or “the Company” refer collectively to Mastech Digital, Inc. and its wholly owned operating subsidiaries, which are included in these Condensed Consolidated Financial Statements (the “Financial Statements”).</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are a provider of Digital Transformation IT Services to mostly large and medium-sized organizations.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portfolio of offerings includes data management and analytics services, digital learning services and IT staffing services.</w:t>
      </w:r>
    </w:p>
    <w:p>
      <w:pPr>
        <w:spacing w:after="0" w:line="22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With our 2017 acquisition of the services division of Canada-based InfoTrellis, Inc. (“InfoTrellis”), we added specialized capabilities in delivering data and analytics services to our customers, which became our Data and Analytics Services segment. This segment offers project-based consulting services in the areas of data management, data engineering and data science, with such services delivered using on-site and offshore resources. In October 2020, we acquired AmberLeaf Partners, Inc. (“AmberLeaf”), a Chicago-based customer experience consulting firm. This acquisition expanded our Data and Analytics Services segment’s capabilities in customer experience strategy and managed services offering for a variety of Cloud-based enterprise applications across sales, marketing and customer services organizations.</w:t>
      </w:r>
    </w:p>
    <w:p>
      <w:pPr>
        <w:spacing w:after="0" w:line="187"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Our IT staffing services segment combines technical expertise with business process experience to deliver a broad range of staffing services in digital and mainstream technologies. Our digital technologies include data management, analytics, cloud, mobility, social and artificial intelligence. We work with businesses and institutions with significant IT spending and recurring staffing service needs. We also support smaller organizations with their “project focused” temporary IT staffing requirements.</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Accounting Principles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accompanying Financial Statements have been prepared by management in accordance with U.S. generally accepted accounting principles (“GAAP”) for interim financial information and applicable rules and regulations of the Securities and Exchange Commission (the “SEC”). Accordingly, they do not include all of the information and disclosures required by U.S. GAAP for complete consolidated financial statements. In the opinion of management, all adjustments, consisting principally of normal recurring adjustments, considered necessary for a fair presentation have been included. The preparation of financial statements in conformity with U.S. GAAP requires management to make estimates and assumptions that affect the amounts reported in the Financial Statements and the accompanying notes. Actual results could differ from these estimates. These Financial Statements should be read in conjunction with the Company’s audited consolidated financial statements and accompanying notes for the year ended December 31, 2024, included in our Annual Report on Form 10-K filed with the SEC on March 14, 2025. Additionally, our operating results for the three and six months ended June 30, 2025, are not necessarily indicative of the results that can be expected for the year ending December 31, 2025 or for any other period.</w:t>
      </w:r>
    </w:p>
    <w:p>
      <w:pPr>
        <w:spacing w:after="0" w:line="2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The Financial Statements include the accounts of the Company and its wholly-owned subsidiaries. All material intercompany transactions and balances have been eliminated in consolidation.</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Please refer to Note 1 “Summary of Significant Accounting Policies” of the Consolidated Financial Statements and “Management’s Discussion and Analysis of Financial Condition and Results of Operations–Critical Accounting Policies and Estimates” in our Annual Report on Form 10-K for the year ended December 31, 2024, for a more detailed discussion of our significant accounting policies and critical accounting estimates. There were no material changes to these critical accounting policies during the six months ended June 30, 2025.</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00"/>
          </w:cols>
          <w:pgMar w:left="320" w:top="482" w:right="4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121"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The Company has two reportable segments, in accordance with Accounting Standards Committee (“ASC”) Topic 280 “Disclosures About Segments of an Enterprise and Related Information”: Data and Analytics Services and IT Staffing Services. </w:t>
      </w:r>
    </w:p>
    <w:p>
      <w:pPr>
        <w:spacing w:after="0" w:line="306" w:lineRule="exact"/>
        <w:rPr>
          <w:sz w:val="20"/>
          <w:szCs w:val="20"/>
          <w:color w:val="auto"/>
        </w:rPr>
      </w:pPr>
    </w:p>
    <w:p>
      <w:pPr>
        <w:ind w:left="540" w:hanging="424"/>
        <w:spacing w:after="0"/>
        <w:tabs>
          <w:tab w:leader="none" w:pos="5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from Contracts with Customers</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Company recognizes revenue on time-and-material contracts over time as services are performed and expenses are incurred. Time-and-material contracts typically bill at an agreed-upon hourly rate, plus out-of-pocket expense reimbursement. Out-of-pocket expense reimbursement amounts vary by assignment, but on average represent less than 2% of the total contract revenues. Revenue is earned on a per transaction or labor hour basis, as that amount directly corresponds to the value of the Company’s performance. Revenue recognition is negatively impacted by holidays and consultant vacation and sick days.</w:t>
      </w:r>
    </w:p>
    <w:p>
      <w:pPr>
        <w:spacing w:after="0" w:line="183"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 Company recognizes revenue on fixed price contracts over time as services are rendered and uses a cost-based input method to measure progress. Determining a measure of progress requires management to make judgments that affect the timing of revenue recognized. Under the cost-based input method, the extent of progress towards completion is measured based on the ratio of costs incurred to date to the total estimated costs at completion of the performance obligation. Revenues, including estimated fees or profits, are recorded proportionally as costs are incurred. The Company has determined that the cost-based input method provides a fair depiction of the transfer of goods or services to the customer. Estimated losses are recognized immediately in the period in which current estimates indicate a loss. We record deferred revenues when cash payments are received or due in advance of our performance, including amounts which may be refundable.</w:t>
      </w:r>
    </w:p>
    <w:p>
      <w:pPr>
        <w:spacing w:after="0" w:line="18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Company’s time-and-material and fixed price revenue streams are recognized over time as the customer receives and consumes the benefits of the Company’s performance as the work is performed.</w:t>
      </w:r>
    </w:p>
    <w:p>
      <w:pPr>
        <w:spacing w:after="0" w:line="162" w:lineRule="exact"/>
        <w:rPr>
          <w:sz w:val="20"/>
          <w:szCs w:val="20"/>
          <w:color w:val="auto"/>
        </w:rPr>
      </w:pPr>
    </w:p>
    <w:p>
      <w:pPr>
        <w:ind w:left="120" w:right="820" w:firstLine="440"/>
        <w:spacing w:after="0" w:line="282" w:lineRule="auto"/>
        <w:rPr>
          <w:sz w:val="20"/>
          <w:szCs w:val="20"/>
          <w:color w:val="auto"/>
        </w:rPr>
      </w:pPr>
      <w:r>
        <w:rPr>
          <w:rFonts w:ascii="Times New Roman" w:cs="Times New Roman" w:eastAsia="Times New Roman" w:hAnsi="Times New Roman"/>
          <w:sz w:val="18"/>
          <w:szCs w:val="18"/>
          <w:color w:val="auto"/>
        </w:rPr>
        <w:t>In certain situations related to client direct hire assignments, where the Company’s fee is contingent upon the hired resources continued employment with the client, revenue is not fully recognized until such employment conditions are satisfied.</w:t>
      </w:r>
    </w:p>
    <w:p>
      <w:pPr>
        <w:spacing w:after="0" w:line="162" w:lineRule="exact"/>
        <w:rPr>
          <w:sz w:val="20"/>
          <w:szCs w:val="20"/>
          <w:color w:val="auto"/>
        </w:rPr>
      </w:pPr>
    </w:p>
    <w:p>
      <w:pPr>
        <w:jc w:val="both"/>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We do not sell, lease or otherwise market computer software or hardware, and, essentially, 100% of our revenue is derived from the sale of data and analytics, IT staffing and digital transformation services. We expense sales commissions in the same period in which revenues are realized. These costs are recorded within sales, general and administrative expenses.</w:t>
      </w:r>
    </w:p>
    <w:p>
      <w:pPr>
        <w:spacing w:after="0" w:line="176"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Each contract the Company enters into is assessed to determine the promised services to be performed and includes identification of the performance obligations required by the contract. In substantially all of our contracts, we have identified a single performance obligation for each contract either because the promised services are distinct, or the promised services are highly interrelated and interdependent and therefore represent a combined single performance obligation.</w:t>
      </w:r>
    </w:p>
    <w:p>
      <w:pPr>
        <w:spacing w:after="0" w:line="180"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Our Data and Analytics Services segment provides specialized capabilities in delivering data management and analytics services to its customers globally. This business offers project-based consulting services in the areas of Master Data Management, Enterprise Data Integration, Big Data, Analytics and Digital Transformation, which can be delivered using onsite and offshore resources.</w:t>
      </w:r>
    </w:p>
    <w:p>
      <w:pPr>
        <w:spacing w:after="0" w:line="176"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Our IT Staffing Services segment combines technical expertise with business process experience to deliver a broad range of services in digital and mainstream technologies. Our digital technology stack includes data management and analytics, cloud, mobility, social and automation. Our mainstream technologies include business intelligence / data warehousing; web services; enterprise resource planning &amp; customer resource management; and e-Business solutions. We work with businesses and institutions with significant IT spend and recurring staffing needs. We also support smaller organizations with their “project focused” temporary IT staffing requirements. In late 2023, we expanded our service offerings to include engineering staffing services. Substantially all of our revenue is recognized over time.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20"/>
          </w:cols>
          <w:pgMar w:left="320" w:top="482"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depicts the disaggregation of our revenues by contract type and operating segment:</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gridSpan w:val="6"/>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580" w:type="dxa"/>
            <w:vAlign w:val="bottom"/>
            <w:gridSpan w:val="5"/>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80" w:type="dxa"/>
            <w:vAlign w:val="bottom"/>
            <w:gridSpan w:val="5"/>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42"/>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gridSpan w:val="2"/>
          </w:tcPr>
          <w:p>
            <w:pPr>
              <w:jc w:val="right"/>
              <w:ind w:right="7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80" w:type="dxa"/>
            <w:vAlign w:val="bottom"/>
            <w:gridSpan w:val="5"/>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(Amounts in thousands)</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666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Data and Analytics Services Segment</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8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Time-and-material Contracts</w:t>
            </w:r>
          </w:p>
        </w:tc>
        <w:tc>
          <w:tcPr>
            <w:tcW w:w="38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7,827</w:t>
            </w:r>
          </w:p>
        </w:tc>
        <w:tc>
          <w:tcPr>
            <w:tcW w:w="28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CCEEFF"/>
            </w:tcBorders>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6,183</w:t>
            </w:r>
          </w:p>
        </w:tc>
        <w:tc>
          <w:tcPr>
            <w:tcW w:w="760" w:type="dxa"/>
            <w:vAlign w:val="bottom"/>
            <w:tcBorders>
              <w:top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$13,475</w:t>
            </w:r>
          </w:p>
        </w:tc>
        <w:tc>
          <w:tcPr>
            <w:tcW w:w="820" w:type="dxa"/>
            <w:vAlign w:val="bottom"/>
            <w:tcBorders>
              <w:top w:val="single" w:sz="8" w:color="CCEEFF"/>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$12,294</w:t>
            </w:r>
          </w:p>
        </w:tc>
      </w:tr>
      <w:tr>
        <w:trPr>
          <w:trHeight w:val="216"/>
        </w:trPr>
        <w:tc>
          <w:tcPr>
            <w:tcW w:w="20" w:type="dxa"/>
            <w:vAlign w:val="bottom"/>
          </w:tcPr>
          <w:p>
            <w:pPr>
              <w:spacing w:after="0"/>
              <w:rPr>
                <w:sz w:val="18"/>
                <w:szCs w:val="18"/>
                <w:color w:val="auto"/>
              </w:rPr>
            </w:pPr>
          </w:p>
        </w:tc>
        <w:tc>
          <w:tcPr>
            <w:tcW w:w="6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Fixed-price Contracts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762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2,693</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4,074</w:t>
            </w:r>
          </w:p>
        </w:tc>
        <w:tc>
          <w:tcPr>
            <w:tcW w:w="8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4,649</w:t>
            </w:r>
          </w:p>
        </w:tc>
      </w:tr>
      <w:tr>
        <w:trPr>
          <w:trHeight w:val="223"/>
        </w:trPr>
        <w:tc>
          <w:tcPr>
            <w:tcW w:w="20" w:type="dxa"/>
            <w:vAlign w:val="bottom"/>
          </w:tcPr>
          <w:p>
            <w:pPr>
              <w:spacing w:after="0"/>
              <w:rPr>
                <w:sz w:val="19"/>
                <w:szCs w:val="19"/>
                <w:color w:val="auto"/>
              </w:rPr>
            </w:pPr>
          </w:p>
        </w:tc>
        <w:tc>
          <w:tcPr>
            <w:tcW w:w="666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Subtotal Data and Analytics Services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8,589</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8,876</w:t>
            </w:r>
          </w:p>
        </w:tc>
        <w:tc>
          <w:tcPr>
            <w:tcW w:w="34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9"/>
              </w:rPr>
              <w:t>$</w:t>
            </w:r>
            <w:r>
              <w:rPr>
                <w:rFonts w:ascii="Times New Roman" w:cs="Times New Roman" w:eastAsia="Times New Roman" w:hAnsi="Times New Roman"/>
                <w:sz w:val="18"/>
                <w:szCs w:val="18"/>
                <w:b w:val="1"/>
                <w:bCs w:val="1"/>
                <w:color w:val="auto"/>
                <w:w w:val="99"/>
              </w:rPr>
              <w:t>17,549</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9"/>
              </w:rPr>
              <w:t>$</w:t>
            </w:r>
            <w:r>
              <w:rPr>
                <w:rFonts w:ascii="Times New Roman" w:cs="Times New Roman" w:eastAsia="Times New Roman" w:hAnsi="Times New Roman"/>
                <w:sz w:val="18"/>
                <w:szCs w:val="18"/>
                <w:b w:val="1"/>
                <w:bCs w:val="1"/>
                <w:color w:val="auto"/>
                <w:w w:val="99"/>
              </w:rPr>
              <w:t>16,943</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6660" w:type="dxa"/>
            <w:vAlign w:val="bottom"/>
            <w:gridSpan w:val="3"/>
            <w:shd w:val="clear" w:color="auto" w:fill="CCEEFF"/>
          </w:tcPr>
          <w:p>
            <w:pPr>
              <w:spacing w:after="0" w:line="170" w:lineRule="exact"/>
              <w:rPr>
                <w:sz w:val="20"/>
                <w:szCs w:val="20"/>
                <w:color w:val="auto"/>
              </w:rPr>
            </w:pPr>
            <w:r>
              <w:rPr>
                <w:rFonts w:ascii="Times New Roman" w:cs="Times New Roman" w:eastAsia="Times New Roman" w:hAnsi="Times New Roman"/>
                <w:sz w:val="18"/>
                <w:szCs w:val="18"/>
                <w:b w:val="1"/>
                <w:bCs w:val="1"/>
                <w:color w:val="auto"/>
              </w:rPr>
              <w:t>IT Staffing Services Segment</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2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Time-and-material Contracts</w:t>
            </w:r>
          </w:p>
        </w:tc>
        <w:tc>
          <w:tcPr>
            <w:tcW w:w="4460" w:type="dxa"/>
            <w:vAlign w:val="bottom"/>
            <w:tcBorders>
              <w:top w:val="single" w:sz="8" w:color="CCEEFF"/>
            </w:tcBorders>
            <w:gridSpan w:val="2"/>
          </w:tcPr>
          <w:p>
            <w:pPr>
              <w:spacing w:after="0"/>
              <w:rPr>
                <w:sz w:val="18"/>
                <w:szCs w:val="18"/>
                <w:color w:val="auto"/>
              </w:rPr>
            </w:pP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6"/>
              </w:rPr>
              <w:t>40,508</w:t>
            </w:r>
          </w:p>
        </w:tc>
        <w:tc>
          <w:tcPr>
            <w:tcW w:w="28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CCEEFF"/>
            </w:tcBorders>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2"/>
              </w:rPr>
              <w:t>40,658</w:t>
            </w:r>
          </w:p>
        </w:tc>
        <w:tc>
          <w:tcPr>
            <w:tcW w:w="760" w:type="dxa"/>
            <w:vAlign w:val="bottom"/>
            <w:tcBorders>
              <w:top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$79,865</w:t>
            </w:r>
          </w:p>
        </w:tc>
        <w:tc>
          <w:tcPr>
            <w:tcW w:w="820" w:type="dxa"/>
            <w:vAlign w:val="bottom"/>
            <w:tcBorders>
              <w:top w:val="single" w:sz="8" w:color="CCEEFF"/>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$79,414</w:t>
            </w:r>
          </w:p>
        </w:tc>
      </w:tr>
      <w:tr>
        <w:trPr>
          <w:trHeight w:val="216"/>
        </w:trPr>
        <w:tc>
          <w:tcPr>
            <w:tcW w:w="20" w:type="dxa"/>
            <w:vAlign w:val="bottom"/>
          </w:tcPr>
          <w:p>
            <w:pPr>
              <w:spacing w:after="0"/>
              <w:rPr>
                <w:sz w:val="18"/>
                <w:szCs w:val="18"/>
                <w:color w:val="auto"/>
              </w:rPr>
            </w:pPr>
          </w:p>
        </w:tc>
        <w:tc>
          <w:tcPr>
            <w:tcW w:w="6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Fixed-price Contracts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20" w:type="dxa"/>
            <w:vAlign w:val="bottom"/>
          </w:tcPr>
          <w:p>
            <w:pPr>
              <w:spacing w:after="0"/>
              <w:rPr>
                <w:sz w:val="19"/>
                <w:szCs w:val="19"/>
                <w:color w:val="auto"/>
              </w:rPr>
            </w:pPr>
          </w:p>
        </w:tc>
        <w:tc>
          <w:tcPr>
            <w:tcW w:w="666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Subtotal IT Staffing Services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40,508</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2"/>
              </w:rPr>
              <w:t>40,658</w:t>
            </w:r>
          </w:p>
        </w:tc>
        <w:tc>
          <w:tcPr>
            <w:tcW w:w="34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9"/>
              </w:rPr>
              <w:t>$</w:t>
            </w:r>
            <w:r>
              <w:rPr>
                <w:rFonts w:ascii="Times New Roman" w:cs="Times New Roman" w:eastAsia="Times New Roman" w:hAnsi="Times New Roman"/>
                <w:sz w:val="18"/>
                <w:szCs w:val="18"/>
                <w:b w:val="1"/>
                <w:bCs w:val="1"/>
                <w:color w:val="auto"/>
                <w:w w:val="99"/>
              </w:rPr>
              <w:t>79,865</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9"/>
              </w:rPr>
              <w:t>$</w:t>
            </w:r>
            <w:r>
              <w:rPr>
                <w:rFonts w:ascii="Times New Roman" w:cs="Times New Roman" w:eastAsia="Times New Roman" w:hAnsi="Times New Roman"/>
                <w:sz w:val="18"/>
                <w:szCs w:val="18"/>
                <w:b w:val="1"/>
                <w:bCs w:val="1"/>
                <w:color w:val="auto"/>
                <w:w w:val="99"/>
              </w:rPr>
              <w:t>79,414</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6"/>
              </w:rPr>
              <w:t>49,097</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p>
        </w:tc>
        <w:tc>
          <w:tcPr>
            <w:tcW w:w="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2"/>
              </w:rPr>
              <w:t>49,534</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u w:val="single" w:color="auto"/>
                <w:color w:val="auto"/>
                <w:w w:val="99"/>
              </w:rPr>
              <w:t>$</w:t>
            </w:r>
            <w:r>
              <w:rPr>
                <w:rFonts w:ascii="Times New Roman" w:cs="Times New Roman" w:eastAsia="Times New Roman" w:hAnsi="Times New Roman"/>
                <w:sz w:val="18"/>
                <w:szCs w:val="18"/>
                <w:b w:val="1"/>
                <w:bCs w:val="1"/>
                <w:color w:val="auto"/>
                <w:w w:val="99"/>
              </w:rPr>
              <w:t>97,414</w:t>
            </w:r>
          </w:p>
        </w:tc>
        <w:tc>
          <w:tcPr>
            <w:tcW w:w="8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96,357</w:t>
            </w:r>
          </w:p>
        </w:tc>
      </w:tr>
      <w:tr>
        <w:trPr>
          <w:trHeight w:val="20"/>
        </w:trPr>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For the three months ended June 30, 2025, the Company had three clients (Fidelity = 15.0%, Populus = 12.4% and CGI = 11.0%) that each exceeded 10% of total revenues. For the six months ended June 30, 2025, the Company had the same three clients (Fidelity = 14.0%, Populus = 12.1% and CGI = 11.5%) that each exceeded 10% of total revenues. For the three months ended June 30, 2024, the Company had two clients (CGI = 14.9% and Allegis = 10.7%) that each exceeded 10% of total revenues. For the six months ended June 30, 2024, the Company had the same two clients (CGI = 16.1% and Allegis = 10.1%) that each exceeded 10% of total revenues.</w:t>
      </w:r>
    </w:p>
    <w:p>
      <w:pPr>
        <w:spacing w:after="0" w:line="183"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The Company’s top ten clients represented approximately 58% and 53% of total revenues for the three months ended June 30, 2025 and 2024, respectively. For the six months ended June 30, 2025 and 2024, the Company’s top ten clients represented approximately 58% and 52% of total revenues, respectively.</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presents our revenue from external customers disaggregated by geography, based on the work location of our customers:</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680" w:type="dxa"/>
            <w:vAlign w:val="bottom"/>
          </w:tcPr>
          <w:p>
            <w:pPr>
              <w:spacing w:after="0"/>
              <w:rPr>
                <w:sz w:val="13"/>
                <w:szCs w:val="13"/>
                <w:color w:val="auto"/>
              </w:rPr>
            </w:pPr>
          </w:p>
        </w:tc>
        <w:tc>
          <w:tcPr>
            <w:tcW w:w="1860" w:type="dxa"/>
            <w:vAlign w:val="bottom"/>
            <w:gridSpan w:val="5"/>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580" w:type="dxa"/>
            <w:vAlign w:val="bottom"/>
            <w:gridSpan w:val="5"/>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6680" w:type="dxa"/>
            <w:vAlign w:val="bottom"/>
          </w:tcPr>
          <w:p>
            <w:pPr>
              <w:spacing w:after="0"/>
              <w:rPr>
                <w:sz w:val="15"/>
                <w:szCs w:val="15"/>
                <w:color w:val="auto"/>
              </w:rPr>
            </w:pPr>
          </w:p>
        </w:tc>
        <w:tc>
          <w:tcPr>
            <w:tcW w:w="1860" w:type="dxa"/>
            <w:vAlign w:val="bottom"/>
            <w:gridSpan w:val="5"/>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580" w:type="dxa"/>
            <w:vAlign w:val="bottom"/>
            <w:gridSpan w:val="5"/>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42"/>
        </w:trPr>
        <w:tc>
          <w:tcPr>
            <w:tcW w:w="668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7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gridSpan w:val="2"/>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gridSpan w:val="2"/>
          </w:tcPr>
          <w:p>
            <w:pPr>
              <w:jc w:val="right"/>
              <w:ind w:right="7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2"/>
                <w:szCs w:val="12"/>
                <w:color w:val="auto"/>
              </w:rPr>
            </w:pPr>
          </w:p>
        </w:tc>
      </w:tr>
      <w:tr>
        <w:trPr>
          <w:trHeight w:val="142"/>
        </w:trPr>
        <w:tc>
          <w:tcPr>
            <w:tcW w:w="6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80" w:type="dxa"/>
            <w:vAlign w:val="bottom"/>
            <w:gridSpan w:val="4"/>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(Amounts in thousands)</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9"/>
              </w:rPr>
              <w:t>$48,582</w:t>
            </w:r>
          </w:p>
        </w:tc>
        <w:tc>
          <w:tcPr>
            <w:tcW w:w="12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$48,515</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$96,334</w:t>
            </w:r>
          </w:p>
        </w:tc>
        <w:tc>
          <w:tcPr>
            <w:tcW w:w="8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$94,631</w:t>
            </w: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146</w:t>
            </w:r>
          </w:p>
        </w:tc>
        <w:tc>
          <w:tcPr>
            <w:tcW w:w="12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308</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276</w:t>
            </w:r>
          </w:p>
        </w:tc>
        <w:tc>
          <w:tcPr>
            <w:tcW w:w="8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602</w:t>
            </w:r>
          </w:p>
        </w:tc>
      </w:tr>
      <w:tr>
        <w:trPr>
          <w:trHeight w:val="216"/>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India and Other</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369</w:t>
            </w:r>
          </w:p>
        </w:tc>
        <w:tc>
          <w:tcPr>
            <w:tcW w:w="12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711</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804</w:t>
            </w:r>
          </w:p>
        </w:tc>
        <w:tc>
          <w:tcPr>
            <w:tcW w:w="8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1,124</w:t>
            </w:r>
          </w:p>
        </w:tc>
      </w:tr>
      <w:tr>
        <w:trPr>
          <w:trHeight w:val="223"/>
        </w:trPr>
        <w:tc>
          <w:tcPr>
            <w:tcW w:w="66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9"/>
              </w:rPr>
              <w:t>$</w:t>
            </w:r>
            <w:r>
              <w:rPr>
                <w:rFonts w:ascii="Times New Roman" w:cs="Times New Roman" w:eastAsia="Times New Roman" w:hAnsi="Times New Roman"/>
                <w:sz w:val="18"/>
                <w:szCs w:val="18"/>
                <w:b w:val="1"/>
                <w:bCs w:val="1"/>
                <w:color w:val="auto"/>
                <w:w w:val="99"/>
              </w:rPr>
              <w:t>49,097</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w w:val="95"/>
              </w:rPr>
              <w:t>$</w:t>
            </w:r>
            <w:r>
              <w:rPr>
                <w:rFonts w:ascii="Times New Roman" w:cs="Times New Roman" w:eastAsia="Times New Roman" w:hAnsi="Times New Roman"/>
                <w:sz w:val="18"/>
                <w:szCs w:val="18"/>
                <w:b w:val="1"/>
                <w:bCs w:val="1"/>
                <w:color w:val="auto"/>
                <w:w w:val="95"/>
              </w:rPr>
              <w:t>49,534</w:t>
            </w:r>
          </w:p>
        </w:tc>
        <w:tc>
          <w:tcPr>
            <w:tcW w:w="34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9"/>
              </w:rPr>
              <w:t>$</w:t>
            </w:r>
            <w:r>
              <w:rPr>
                <w:rFonts w:ascii="Times New Roman" w:cs="Times New Roman" w:eastAsia="Times New Roman" w:hAnsi="Times New Roman"/>
                <w:sz w:val="18"/>
                <w:szCs w:val="18"/>
                <w:b w:val="1"/>
                <w:bCs w:val="1"/>
                <w:color w:val="auto"/>
                <w:w w:val="99"/>
              </w:rPr>
              <w:t>97,414</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9"/>
              </w:rPr>
              <w:t>$</w:t>
            </w:r>
            <w:r>
              <w:rPr>
                <w:rFonts w:ascii="Times New Roman" w:cs="Times New Roman" w:eastAsia="Times New Roman" w:hAnsi="Times New Roman"/>
                <w:sz w:val="18"/>
                <w:szCs w:val="18"/>
                <w:b w:val="1"/>
                <w:bCs w:val="1"/>
                <w:color w:val="auto"/>
                <w:w w:val="99"/>
              </w:rPr>
              <w:t>96,357</w:t>
            </w:r>
          </w:p>
        </w:tc>
        <w:tc>
          <w:tcPr>
            <w:tcW w:w="40" w:type="dxa"/>
            <w:vAlign w:val="bottom"/>
          </w:tcPr>
          <w:p>
            <w:pPr>
              <w:spacing w:after="0"/>
              <w:rPr>
                <w:sz w:val="19"/>
                <w:szCs w:val="19"/>
                <w:color w:val="auto"/>
              </w:rPr>
            </w:pPr>
          </w:p>
        </w:tc>
      </w:tr>
      <w:tr>
        <w:trPr>
          <w:trHeight w:val="20"/>
        </w:trPr>
        <w:tc>
          <w:tcPr>
            <w:tcW w:w="66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56" w:lineRule="exact"/>
        <w:rPr>
          <w:sz w:val="20"/>
          <w:szCs w:val="20"/>
          <w:color w:val="auto"/>
        </w:rPr>
      </w:pPr>
    </w:p>
    <w:p>
      <w:pPr>
        <w:ind w:left="540" w:hanging="424"/>
        <w:spacing w:after="0"/>
        <w:tabs>
          <w:tab w:leader="none" w:pos="5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Other Intangible Assets, net</w:t>
      </w:r>
    </w:p>
    <w:p>
      <w:pPr>
        <w:spacing w:after="0" w:line="121" w:lineRule="exact"/>
        <w:rPr>
          <w:sz w:val="20"/>
          <w:szCs w:val="20"/>
          <w:color w:val="auto"/>
        </w:rPr>
      </w:pPr>
    </w:p>
    <w:p>
      <w:pPr>
        <w:ind w:left="120" w:right="300" w:firstLine="440"/>
        <w:spacing w:after="0" w:line="258" w:lineRule="auto"/>
        <w:rPr>
          <w:sz w:val="20"/>
          <w:szCs w:val="20"/>
          <w:color w:val="auto"/>
        </w:rPr>
      </w:pPr>
      <w:r>
        <w:rPr>
          <w:rFonts w:ascii="Times New Roman" w:cs="Times New Roman" w:eastAsia="Times New Roman" w:hAnsi="Times New Roman"/>
          <w:sz w:val="18"/>
          <w:szCs w:val="18"/>
          <w:color w:val="auto"/>
        </w:rPr>
        <w:t>Goodwill of $8.4 million related to our IT Staffing Services segment resulted from the 2015 acquisition of Hudson Global Resources Management’s U.S. IT staffing business. Goodwill related to our Data and Analytics Services segment includes our 2017 acquisition of the services division of InfoTrellis, which totaled $27.4 million, and our 2020 acquisition of AmberLeaf, which totaled $6.4 million. The Company recorded a $5.3 million goodwill impairment related to the Data and Analytics Services segment in 2023 and a $9.7 million goodwill impairment in 2018. The impairments were primarily attributable to declines in revenue levels and lower future revenue projections.</w:t>
      </w:r>
    </w:p>
    <w:p>
      <w:pPr>
        <w:spacing w:after="0" w:line="183"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A continued decline in our Data and Analytics Services segment may potentially affect the implied fair value of Goodwill. Should this type of trend persist, there is the risk that a goodwill impairment charge may be required in a future reporting period.</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60"/>
          </w:cols>
          <w:pgMar w:left="320" w:top="482" w:right="5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 reconciliation of the beginning and ending amounts of goodwill by operating segment for the periods ended June 30, 2025 and December 31, 2024 is as follows:</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880" w:type="dxa"/>
            <w:vAlign w:val="bottom"/>
          </w:tcPr>
          <w:p>
            <w:pPr>
              <w:spacing w:after="0"/>
              <w:rPr>
                <w:sz w:val="13"/>
                <w:szCs w:val="13"/>
                <w:color w:val="auto"/>
              </w:rPr>
            </w:pPr>
          </w:p>
        </w:tc>
        <w:tc>
          <w:tcPr>
            <w:tcW w:w="12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20" w:type="dxa"/>
            <w:vAlign w:val="bottom"/>
          </w:tcPr>
          <w:p>
            <w:pPr>
              <w:spacing w:after="0"/>
              <w:rPr>
                <w:sz w:val="13"/>
                <w:szCs w:val="13"/>
                <w:color w:val="auto"/>
              </w:rPr>
            </w:pPr>
          </w:p>
        </w:tc>
        <w:tc>
          <w:tcPr>
            <w:tcW w:w="14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Twelve Months Ended</w:t>
            </w:r>
          </w:p>
        </w:tc>
      </w:tr>
      <w:tr>
        <w:trPr>
          <w:trHeight w:val="173"/>
        </w:trPr>
        <w:tc>
          <w:tcPr>
            <w:tcW w:w="4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42"/>
        </w:trPr>
        <w:tc>
          <w:tcPr>
            <w:tcW w:w="488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2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IT Staffing Services:</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4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Beginning balance</w:t>
            </w:r>
          </w:p>
        </w:tc>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8,427</w:t>
            </w:r>
          </w:p>
        </w:tc>
        <w:tc>
          <w:tcPr>
            <w:tcW w:w="40" w:type="dxa"/>
            <w:vAlign w:val="bottom"/>
          </w:tcPr>
          <w:p>
            <w:pPr>
              <w:spacing w:after="0"/>
              <w:rPr>
                <w:sz w:val="18"/>
                <w:szCs w:val="18"/>
                <w:color w:val="auto"/>
              </w:rPr>
            </w:pPr>
          </w:p>
        </w:tc>
        <w:tc>
          <w:tcPr>
            <w:tcW w:w="9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8,427</w:t>
            </w:r>
          </w:p>
        </w:tc>
      </w:tr>
      <w:tr>
        <w:trPr>
          <w:trHeight w:val="216"/>
        </w:trPr>
        <w:tc>
          <w:tcPr>
            <w:tcW w:w="4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Goodwill recorded</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4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Impairment</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gridSpan w:val="2"/>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w w:val="96"/>
              </w:rPr>
              <w:t>— </w:t>
            </w:r>
          </w:p>
        </w:tc>
        <w:tc>
          <w:tcPr>
            <w:tcW w:w="40" w:type="dxa"/>
            <w:vAlign w:val="bottom"/>
          </w:tcPr>
          <w:p>
            <w:pPr>
              <w:spacing w:after="0"/>
              <w:rPr>
                <w:sz w:val="19"/>
                <w:szCs w:val="19"/>
                <w:color w:val="auto"/>
              </w:rPr>
            </w:pPr>
          </w:p>
        </w:tc>
      </w:tr>
      <w:tr>
        <w:trPr>
          <w:trHeight w:val="216"/>
        </w:trPr>
        <w:tc>
          <w:tcPr>
            <w:tcW w:w="4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Ending Balance</w:t>
            </w:r>
          </w:p>
        </w:tc>
        <w:tc>
          <w:tcPr>
            <w:tcW w:w="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8,427</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8,427</w:t>
            </w:r>
          </w:p>
        </w:tc>
      </w:tr>
      <w:tr>
        <w:trPr>
          <w:trHeight w:val="20"/>
        </w:trPr>
        <w:tc>
          <w:tcPr>
            <w:tcW w:w="48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61"/>
        </w:trPr>
        <w:tc>
          <w:tcPr>
            <w:tcW w:w="4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20" w:type="dxa"/>
            <w:vAlign w:val="bottom"/>
          </w:tcPr>
          <w:p>
            <w:pPr>
              <w:spacing w:after="0"/>
              <w:rPr>
                <w:sz w:val="24"/>
                <w:szCs w:val="24"/>
                <w:color w:val="auto"/>
              </w:rPr>
            </w:pPr>
          </w:p>
        </w:tc>
        <w:tc>
          <w:tcPr>
            <w:tcW w:w="14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Twelve Months Ended</w:t>
            </w:r>
          </w:p>
        </w:tc>
      </w:tr>
      <w:tr>
        <w:trPr>
          <w:trHeight w:val="173"/>
        </w:trPr>
        <w:tc>
          <w:tcPr>
            <w:tcW w:w="4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42"/>
        </w:trPr>
        <w:tc>
          <w:tcPr>
            <w:tcW w:w="4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200" w:type="dxa"/>
            <w:vAlign w:val="bottom"/>
            <w:tcBorders>
              <w:top w:val="single" w:sz="8" w:color="auto"/>
            </w:tcBorders>
            <w:gridSpan w:val="3"/>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40" w:type="dxa"/>
            <w:vAlign w:val="bottom"/>
          </w:tcPr>
          <w:p>
            <w:pPr>
              <w:spacing w:after="0"/>
              <w:rPr>
                <w:sz w:val="12"/>
                <w:szCs w:val="12"/>
                <w:color w:val="auto"/>
              </w:rPr>
            </w:pP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Data and Analytics Services:</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4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Beginning balance</w:t>
            </w: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18,783</w:t>
            </w:r>
          </w:p>
        </w:tc>
        <w:tc>
          <w:tcPr>
            <w:tcW w:w="9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18,783</w:t>
            </w:r>
          </w:p>
        </w:tc>
      </w:tr>
      <w:tr>
        <w:trPr>
          <w:trHeight w:val="216"/>
        </w:trPr>
        <w:tc>
          <w:tcPr>
            <w:tcW w:w="4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Goodwill recorded</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4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Impairment</w:t>
            </w:r>
          </w:p>
        </w:tc>
        <w:tc>
          <w:tcPr>
            <w:tcW w:w="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w w:val="96"/>
              </w:rPr>
              <w:t>— </w:t>
            </w:r>
          </w:p>
        </w:tc>
        <w:tc>
          <w:tcPr>
            <w:tcW w:w="40" w:type="dxa"/>
            <w:vAlign w:val="bottom"/>
          </w:tcPr>
          <w:p>
            <w:pPr>
              <w:spacing w:after="0"/>
              <w:rPr>
                <w:sz w:val="19"/>
                <w:szCs w:val="19"/>
                <w:color w:val="auto"/>
              </w:rPr>
            </w:pPr>
          </w:p>
        </w:tc>
      </w:tr>
      <w:tr>
        <w:trPr>
          <w:trHeight w:val="216"/>
        </w:trPr>
        <w:tc>
          <w:tcPr>
            <w:tcW w:w="4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Ending Balance</w:t>
            </w:r>
          </w:p>
        </w:tc>
        <w:tc>
          <w:tcPr>
            <w:tcW w:w="1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18,783</w:t>
            </w:r>
          </w:p>
        </w:tc>
        <w:tc>
          <w:tcPr>
            <w:tcW w:w="9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18,783</w:t>
            </w:r>
          </w:p>
        </w:tc>
      </w:tr>
      <w:tr>
        <w:trPr>
          <w:trHeight w:val="20"/>
        </w:trPr>
        <w:tc>
          <w:tcPr>
            <w:tcW w:w="4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is amortizing the identifiable intangible assets on a straight-line basis over estimated average lives ranging from 3 to 12 years.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Identifiable intangible assets were comprised of the following as of June 30, 2025 and December 31, 2024:</w:t>
      </w:r>
    </w:p>
    <w:p>
      <w:pPr>
        <w:spacing w:after="0" w:line="227"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148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6"/>
          </w:tcPr>
          <w:p>
            <w:pPr>
              <w:ind w:left="300"/>
              <w:spacing w:after="0"/>
              <w:rPr>
                <w:sz w:val="20"/>
                <w:szCs w:val="20"/>
                <w:color w:val="auto"/>
              </w:rPr>
            </w:pPr>
            <w:r>
              <w:rPr>
                <w:rFonts w:ascii="Times New Roman" w:cs="Times New Roman" w:eastAsia="Times New Roman" w:hAnsi="Times New Roman"/>
                <w:sz w:val="14"/>
                <w:szCs w:val="14"/>
                <w:b w:val="1"/>
                <w:bCs w:val="1"/>
                <w:color w:val="auto"/>
              </w:rPr>
              <w:t>As of June 30, 2025</w:t>
            </w:r>
          </w:p>
        </w:tc>
        <w:tc>
          <w:tcPr>
            <w:tcW w:w="5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3100" w:type="dxa"/>
            <w:vAlign w:val="bottom"/>
            <w:vMerge w:val="restart"/>
          </w:tcPr>
          <w:p>
            <w:pPr>
              <w:spacing w:after="0"/>
              <w:rPr>
                <w:sz w:val="10"/>
                <w:szCs w:val="10"/>
                <w:color w:val="auto"/>
              </w:rPr>
            </w:pPr>
          </w:p>
        </w:tc>
        <w:tc>
          <w:tcPr>
            <w:tcW w:w="20" w:type="dxa"/>
            <w:vAlign w:val="bottom"/>
          </w:tcPr>
          <w:p>
            <w:pPr>
              <w:spacing w:after="0"/>
              <w:rPr>
                <w:sz w:val="10"/>
                <w:szCs w:val="10"/>
                <w:color w:val="auto"/>
              </w:rPr>
            </w:pPr>
          </w:p>
        </w:tc>
        <w:tc>
          <w:tcPr>
            <w:tcW w:w="1620" w:type="dxa"/>
            <w:vAlign w:val="bottom"/>
            <w:gridSpan w:val="2"/>
          </w:tcPr>
          <w:p>
            <w:pPr>
              <w:jc w:val="center"/>
              <w:ind w:right="600"/>
              <w:spacing w:after="0" w:line="118" w:lineRule="exact"/>
              <w:rPr>
                <w:sz w:val="20"/>
                <w:szCs w:val="20"/>
                <w:color w:val="auto"/>
              </w:rPr>
            </w:pPr>
            <w:r>
              <w:rPr>
                <w:rFonts w:ascii="Times New Roman" w:cs="Times New Roman" w:eastAsia="Times New Roman" w:hAnsi="Times New Roman"/>
                <w:sz w:val="13"/>
                <w:szCs w:val="13"/>
                <w:b w:val="1"/>
                <w:bCs w:val="1"/>
                <w:color w:val="auto"/>
              </w:rPr>
              <w:t>Amortization</w:t>
            </w:r>
          </w:p>
        </w:tc>
        <w:tc>
          <w:tcPr>
            <w:tcW w:w="20" w:type="dxa"/>
            <w:vAlign w:val="bottom"/>
          </w:tcPr>
          <w:p>
            <w:pPr>
              <w:spacing w:after="0"/>
              <w:rPr>
                <w:sz w:val="10"/>
                <w:szCs w:val="10"/>
                <w:color w:val="auto"/>
              </w:rPr>
            </w:pPr>
          </w:p>
        </w:tc>
        <w:tc>
          <w:tcPr>
            <w:tcW w:w="1000" w:type="dxa"/>
            <w:vAlign w:val="bottom"/>
            <w:gridSpan w:val="4"/>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Gross Carrying</w:t>
            </w: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20" w:type="dxa"/>
            <w:vAlign w:val="bottom"/>
            <w:gridSpan w:val="4"/>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Accumulative</w:t>
            </w:r>
          </w:p>
        </w:tc>
        <w:tc>
          <w:tcPr>
            <w:tcW w:w="84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Net Carrying</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1480" w:type="dxa"/>
            <w:vAlign w:val="bottom"/>
            <w:tcBorders>
              <w:bottom w:val="single" w:sz="8" w:color="auto"/>
            </w:tcBorders>
            <w:vMerge w:val="continue"/>
          </w:tcPr>
          <w:p>
            <w:pPr>
              <w:spacing w:after="0"/>
              <w:rPr>
                <w:sz w:val="15"/>
                <w:szCs w:val="15"/>
                <w:color w:val="auto"/>
              </w:rPr>
            </w:pPr>
          </w:p>
        </w:tc>
        <w:tc>
          <w:tcPr>
            <w:tcW w:w="31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620" w:type="dxa"/>
            <w:vAlign w:val="bottom"/>
            <w:gridSpan w:val="2"/>
          </w:tcPr>
          <w:p>
            <w:pPr>
              <w:jc w:val="center"/>
              <w:ind w:right="580"/>
              <w:spacing w:after="0" w:line="160" w:lineRule="exact"/>
              <w:rPr>
                <w:sz w:val="20"/>
                <w:szCs w:val="20"/>
                <w:color w:val="auto"/>
              </w:rPr>
            </w:pPr>
            <w:r>
              <w:rPr>
                <w:rFonts w:ascii="Times New Roman" w:cs="Times New Roman" w:eastAsia="Times New Roman" w:hAnsi="Times New Roman"/>
                <w:sz w:val="14"/>
                <w:szCs w:val="14"/>
                <w:b w:val="1"/>
                <w:bCs w:val="1"/>
                <w:color w:val="auto"/>
                <w:w w:val="99"/>
              </w:rPr>
              <w:t>Period (In Years)</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3"/>
          </w:tcPr>
          <w:p>
            <w:pPr>
              <w:ind w:left="120"/>
              <w:spacing w:after="0" w:line="160" w:lineRule="exact"/>
              <w:rPr>
                <w:sz w:val="20"/>
                <w:szCs w:val="20"/>
                <w:color w:val="auto"/>
              </w:rPr>
            </w:pPr>
            <w:r>
              <w:rPr>
                <w:rFonts w:ascii="Times New Roman" w:cs="Times New Roman" w:eastAsia="Times New Roman" w:hAnsi="Times New Roman"/>
                <w:sz w:val="14"/>
                <w:szCs w:val="14"/>
                <w:b w:val="1"/>
                <w:bCs w:val="1"/>
                <w:color w:val="auto"/>
              </w:rPr>
              <w:t>Value</w:t>
            </w: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20" w:type="dxa"/>
            <w:vAlign w:val="bottom"/>
            <w:gridSpan w:val="4"/>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5"/>
                <w:szCs w:val="15"/>
                <w:color w:val="auto"/>
              </w:rPr>
            </w:pPr>
          </w:p>
        </w:tc>
        <w:tc>
          <w:tcPr>
            <w:tcW w:w="700" w:type="dxa"/>
            <w:vAlign w:val="bottom"/>
            <w:gridSpan w:val="2"/>
          </w:tcPr>
          <w:p>
            <w:pPr>
              <w:ind w:left="60"/>
              <w:spacing w:after="0" w:line="160"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90"/>
        </w:trPr>
        <w:tc>
          <w:tcPr>
            <w:tcW w:w="458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IT Staffing Services:</w:t>
            </w:r>
          </w:p>
        </w:tc>
        <w:tc>
          <w:tcPr>
            <w:tcW w:w="2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Client relationships</w:t>
            </w:r>
          </w:p>
        </w:tc>
        <w:tc>
          <w:tcPr>
            <w:tcW w:w="164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7,999</w:t>
            </w:r>
          </w:p>
        </w:tc>
        <w:tc>
          <w:tcPr>
            <w:tcW w:w="88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6,694</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1,305</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Covenant-not-to-compete</w:t>
            </w:r>
          </w:p>
        </w:tc>
        <w:tc>
          <w:tcPr>
            <w:tcW w:w="164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319</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319</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5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Trade name</w:t>
            </w:r>
          </w:p>
        </w:tc>
        <w:tc>
          <w:tcPr>
            <w:tcW w:w="164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249</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249</w:t>
            </w:r>
          </w:p>
        </w:tc>
        <w:tc>
          <w:tcPr>
            <w:tcW w:w="180" w:type="dxa"/>
            <w:vAlign w:val="bottom"/>
          </w:tcPr>
          <w:p>
            <w:pPr>
              <w:spacing w:after="0"/>
              <w:rPr>
                <w:sz w:val="18"/>
                <w:szCs w:val="18"/>
                <w:color w:val="auto"/>
              </w:rPr>
            </w:pP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Data and Analytics Services:</w:t>
            </w:r>
          </w:p>
        </w:tc>
        <w:tc>
          <w:tcPr>
            <w:tcW w:w="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Client relationships</w:t>
            </w:r>
          </w:p>
        </w:tc>
        <w:tc>
          <w:tcPr>
            <w:tcW w:w="164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19,641</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12,231</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7,410</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Covenant-not-to-compete</w:t>
            </w:r>
          </w:p>
        </w:tc>
        <w:tc>
          <w:tcPr>
            <w:tcW w:w="164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1,201</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1,179</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45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Trade name</w:t>
            </w:r>
          </w:p>
        </w:tc>
        <w:tc>
          <w:tcPr>
            <w:tcW w:w="164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1,711</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1,686</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Technology</w:t>
            </w:r>
          </w:p>
        </w:tc>
        <w:tc>
          <w:tcPr>
            <w:tcW w:w="164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1,979</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1,732</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247</w:t>
            </w:r>
          </w:p>
        </w:tc>
        <w:tc>
          <w:tcPr>
            <w:tcW w:w="0" w:type="dxa"/>
            <w:vAlign w:val="bottom"/>
          </w:tcPr>
          <w:p>
            <w:pPr>
              <w:spacing w:after="0"/>
              <w:rPr>
                <w:sz w:val="1"/>
                <w:szCs w:val="1"/>
                <w:color w:val="auto"/>
              </w:rPr>
            </w:pPr>
          </w:p>
        </w:tc>
      </w:tr>
      <w:tr>
        <w:trPr>
          <w:trHeight w:val="223"/>
        </w:trPr>
        <w:tc>
          <w:tcPr>
            <w:tcW w:w="458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Total Intangible Assets</w:t>
            </w:r>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33,099</w:t>
            </w:r>
          </w:p>
        </w:tc>
        <w:tc>
          <w:tcPr>
            <w:tcW w:w="2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24,090</w:t>
            </w:r>
          </w:p>
        </w:tc>
        <w:tc>
          <w:tcPr>
            <w:tcW w:w="5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4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6"/>
          </w:tcPr>
          <w:p>
            <w:pPr>
              <w:ind w:left="12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1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3100" w:type="dxa"/>
            <w:vAlign w:val="bottom"/>
            <w:vMerge w:val="restart"/>
          </w:tcPr>
          <w:p>
            <w:pPr>
              <w:spacing w:after="0"/>
              <w:rPr>
                <w:sz w:val="10"/>
                <w:szCs w:val="10"/>
                <w:color w:val="auto"/>
              </w:rPr>
            </w:pPr>
          </w:p>
        </w:tc>
        <w:tc>
          <w:tcPr>
            <w:tcW w:w="20" w:type="dxa"/>
            <w:vAlign w:val="bottom"/>
          </w:tcPr>
          <w:p>
            <w:pPr>
              <w:spacing w:after="0"/>
              <w:rPr>
                <w:sz w:val="10"/>
                <w:szCs w:val="10"/>
                <w:color w:val="auto"/>
              </w:rPr>
            </w:pPr>
          </w:p>
        </w:tc>
        <w:tc>
          <w:tcPr>
            <w:tcW w:w="1620" w:type="dxa"/>
            <w:vAlign w:val="bottom"/>
            <w:gridSpan w:val="2"/>
          </w:tcPr>
          <w:p>
            <w:pPr>
              <w:jc w:val="center"/>
              <w:ind w:right="600"/>
              <w:spacing w:after="0" w:line="118" w:lineRule="exact"/>
              <w:rPr>
                <w:sz w:val="20"/>
                <w:szCs w:val="20"/>
                <w:color w:val="auto"/>
              </w:rPr>
            </w:pPr>
            <w:r>
              <w:rPr>
                <w:rFonts w:ascii="Times New Roman" w:cs="Times New Roman" w:eastAsia="Times New Roman" w:hAnsi="Times New Roman"/>
                <w:sz w:val="13"/>
                <w:szCs w:val="13"/>
                <w:b w:val="1"/>
                <w:bCs w:val="1"/>
                <w:color w:val="auto"/>
              </w:rPr>
              <w:t>Amortization</w:t>
            </w:r>
          </w:p>
        </w:tc>
        <w:tc>
          <w:tcPr>
            <w:tcW w:w="1020" w:type="dxa"/>
            <w:vAlign w:val="bottom"/>
            <w:gridSpan w:val="5"/>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Gross Carrying</w:t>
            </w:r>
          </w:p>
        </w:tc>
        <w:tc>
          <w:tcPr>
            <w:tcW w:w="560" w:type="dxa"/>
            <w:vAlign w:val="bottom"/>
          </w:tcPr>
          <w:p>
            <w:pPr>
              <w:spacing w:after="0"/>
              <w:rPr>
                <w:sz w:val="10"/>
                <w:szCs w:val="10"/>
                <w:color w:val="auto"/>
              </w:rPr>
            </w:pPr>
          </w:p>
        </w:tc>
        <w:tc>
          <w:tcPr>
            <w:tcW w:w="1440" w:type="dxa"/>
            <w:vAlign w:val="bottom"/>
            <w:gridSpan w:val="5"/>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Accumulative</w:t>
            </w:r>
          </w:p>
        </w:tc>
        <w:tc>
          <w:tcPr>
            <w:tcW w:w="84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Net Carrying</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1480" w:type="dxa"/>
            <w:vAlign w:val="bottom"/>
            <w:tcBorders>
              <w:bottom w:val="single" w:sz="8" w:color="auto"/>
            </w:tcBorders>
            <w:vMerge w:val="continue"/>
          </w:tcPr>
          <w:p>
            <w:pPr>
              <w:spacing w:after="0"/>
              <w:rPr>
                <w:sz w:val="15"/>
                <w:szCs w:val="15"/>
                <w:color w:val="auto"/>
              </w:rPr>
            </w:pPr>
          </w:p>
        </w:tc>
        <w:tc>
          <w:tcPr>
            <w:tcW w:w="3100" w:type="dxa"/>
            <w:vAlign w:val="bottom"/>
            <w:vMerge w:val="continue"/>
          </w:tcPr>
          <w:p>
            <w:pPr>
              <w:spacing w:after="0"/>
              <w:rPr>
                <w:sz w:val="15"/>
                <w:szCs w:val="15"/>
                <w:color w:val="auto"/>
              </w:rPr>
            </w:pPr>
          </w:p>
        </w:tc>
        <w:tc>
          <w:tcPr>
            <w:tcW w:w="1640" w:type="dxa"/>
            <w:vAlign w:val="bottom"/>
            <w:gridSpan w:val="3"/>
          </w:tcPr>
          <w:p>
            <w:pPr>
              <w:jc w:val="center"/>
              <w:ind w:right="600"/>
              <w:spacing w:after="0" w:line="160" w:lineRule="exact"/>
              <w:rPr>
                <w:sz w:val="20"/>
                <w:szCs w:val="20"/>
                <w:color w:val="auto"/>
              </w:rPr>
            </w:pPr>
            <w:r>
              <w:rPr>
                <w:rFonts w:ascii="Times New Roman" w:cs="Times New Roman" w:eastAsia="Times New Roman" w:hAnsi="Times New Roman"/>
                <w:sz w:val="14"/>
                <w:szCs w:val="14"/>
                <w:b w:val="1"/>
                <w:bCs w:val="1"/>
                <w:color w:val="auto"/>
                <w:w w:val="99"/>
              </w:rPr>
              <w:t>Period (In Years)</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3"/>
          </w:tcPr>
          <w:p>
            <w:pPr>
              <w:ind w:left="100"/>
              <w:spacing w:after="0" w:line="160" w:lineRule="exact"/>
              <w:rPr>
                <w:sz w:val="20"/>
                <w:szCs w:val="20"/>
                <w:color w:val="auto"/>
              </w:rPr>
            </w:pPr>
            <w:r>
              <w:rPr>
                <w:rFonts w:ascii="Times New Roman" w:cs="Times New Roman" w:eastAsia="Times New Roman" w:hAnsi="Times New Roman"/>
                <w:sz w:val="14"/>
                <w:szCs w:val="14"/>
                <w:b w:val="1"/>
                <w:bCs w:val="1"/>
                <w:color w:val="auto"/>
              </w:rPr>
              <w:t>Value</w:t>
            </w: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20" w:type="dxa"/>
            <w:vAlign w:val="bottom"/>
            <w:gridSpan w:val="4"/>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5"/>
                <w:szCs w:val="15"/>
                <w:color w:val="auto"/>
              </w:rPr>
            </w:pPr>
          </w:p>
        </w:tc>
        <w:tc>
          <w:tcPr>
            <w:tcW w:w="700" w:type="dxa"/>
            <w:vAlign w:val="bottom"/>
            <w:gridSpan w:val="2"/>
          </w:tcPr>
          <w:p>
            <w:pPr>
              <w:ind w:left="60"/>
              <w:spacing w:after="0" w:line="160"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90"/>
        </w:trPr>
        <w:tc>
          <w:tcPr>
            <w:tcW w:w="458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IT Staffing Services:</w:t>
            </w:r>
          </w:p>
        </w:tc>
        <w:tc>
          <w:tcPr>
            <w:tcW w:w="2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Client relationships</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580" w:type="dxa"/>
            <w:vAlign w:val="bottom"/>
          </w:tcPr>
          <w:p>
            <w:pPr>
              <w:spacing w:after="0"/>
              <w:rPr>
                <w:sz w:val="18"/>
                <w:szCs w:val="18"/>
                <w:color w:val="auto"/>
              </w:rPr>
            </w:pP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7,999</w:t>
            </w:r>
          </w:p>
        </w:tc>
        <w:tc>
          <w:tcPr>
            <w:tcW w:w="20" w:type="dxa"/>
            <w:vAlign w:val="bottom"/>
          </w:tcPr>
          <w:p>
            <w:pPr>
              <w:spacing w:after="0"/>
              <w:rPr>
                <w:sz w:val="18"/>
                <w:szCs w:val="18"/>
                <w:color w:val="auto"/>
              </w:rPr>
            </w:pPr>
          </w:p>
        </w:tc>
        <w:tc>
          <w:tcPr>
            <w:tcW w:w="88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6,361</w:t>
            </w:r>
          </w:p>
        </w:tc>
        <w:tc>
          <w:tcPr>
            <w:tcW w:w="58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1,638</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Covenant-not-to-compete</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319</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319</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5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Trade name</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249</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249</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Data and Analytics Services:</w:t>
            </w:r>
          </w:p>
        </w:tc>
        <w:tc>
          <w:tcPr>
            <w:tcW w:w="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Client relationships</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19,641</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11,413</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8,228</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Covenant-not-to-compete</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1,201</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1,135</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6"/>
        </w:trPr>
        <w:tc>
          <w:tcPr>
            <w:tcW w:w="45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Trade name</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1,711</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1,637</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Technology</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1,979</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1,677</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302</w:t>
            </w:r>
          </w:p>
        </w:tc>
        <w:tc>
          <w:tcPr>
            <w:tcW w:w="0" w:type="dxa"/>
            <w:vAlign w:val="bottom"/>
          </w:tcPr>
          <w:p>
            <w:pPr>
              <w:spacing w:after="0"/>
              <w:rPr>
                <w:sz w:val="1"/>
                <w:szCs w:val="1"/>
                <w:color w:val="auto"/>
              </w:rPr>
            </w:pPr>
          </w:p>
        </w:tc>
      </w:tr>
      <w:tr>
        <w:trPr>
          <w:trHeight w:val="223"/>
        </w:trPr>
        <w:tc>
          <w:tcPr>
            <w:tcW w:w="458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Total Intangible Assets</w:t>
            </w:r>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33,099</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22,791</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060" w:type="dxa"/>
            <w:vAlign w:val="bottom"/>
            <w:gridSpan w:val="2"/>
            <w:vMerge w:val="restart"/>
          </w:tcPr>
          <w:p>
            <w:pPr>
              <w:jc w:val="right"/>
              <w:ind w:right="411"/>
              <w:spacing w:after="0"/>
              <w:rPr>
                <w:sz w:val="20"/>
                <w:szCs w:val="20"/>
                <w:color w:val="auto"/>
              </w:rPr>
            </w:pPr>
            <w:r>
              <w:rPr>
                <w:rFonts w:ascii="Times New Roman" w:cs="Times New Roman" w:eastAsia="Times New Roman" w:hAnsi="Times New Roman"/>
                <w:sz w:val="18"/>
                <w:szCs w:val="18"/>
                <w:color w:val="auto"/>
              </w:rPr>
              <w:t>11</w:t>
            </w:r>
          </w:p>
        </w:tc>
        <w:tc>
          <w:tcPr>
            <w:tcW w:w="5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4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060" w:type="dxa"/>
            <w:vAlign w:val="bottom"/>
            <w:gridSpan w:val="2"/>
            <w:vMerge w:val="continue"/>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80"/>
          </w:cols>
          <w:pgMar w:left="320" w:top="482" w:right="6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Amortization expense for the three and six-month periods ended June 30, 2025 totaled $649,000 and $1.3 million, respectively and is included in selling, general and administrative expenses in the Consolidated Statement of Operations. For the three and six-month periods ended June 30, 2024, amortization expense was $693,000 and $1.4 million, respectively.</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estimated aggregate amortization expense for intangible assets for the years ending December 31, 2025 through 2029 is as follows: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48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6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448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64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60" w:type="dxa"/>
            <w:vAlign w:val="bottom"/>
            <w:tcBorders>
              <w:bottom w:val="single" w:sz="8" w:color="auto"/>
            </w:tcBorders>
          </w:tcPr>
          <w:p>
            <w:pPr>
              <w:jc w:val="right"/>
              <w:ind w:right="16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780" w:type="dxa"/>
            <w:vAlign w:val="bottom"/>
            <w:tcBorders>
              <w:bottom w:val="single" w:sz="8" w:color="auto"/>
            </w:tcBorders>
          </w:tcPr>
          <w:p>
            <w:pPr>
              <w:jc w:val="right"/>
              <w:ind w:right="159"/>
              <w:spacing w:after="0" w:line="142" w:lineRule="exact"/>
              <w:rPr>
                <w:sz w:val="20"/>
                <w:szCs w:val="20"/>
                <w:color w:val="auto"/>
              </w:rPr>
            </w:pPr>
            <w:r>
              <w:rPr>
                <w:rFonts w:ascii="Times New Roman" w:cs="Times New Roman" w:eastAsia="Times New Roman" w:hAnsi="Times New Roman"/>
                <w:sz w:val="14"/>
                <w:szCs w:val="14"/>
                <w:b w:val="1"/>
                <w:bCs w:val="1"/>
                <w:color w:val="auto"/>
              </w:rPr>
              <w:t>2027</w:t>
            </w:r>
          </w:p>
        </w:tc>
        <w:tc>
          <w:tcPr>
            <w:tcW w:w="760" w:type="dxa"/>
            <w:vAlign w:val="bottom"/>
            <w:tcBorders>
              <w:bottom w:val="single" w:sz="8" w:color="auto"/>
            </w:tcBorders>
          </w:tcPr>
          <w:p>
            <w:pPr>
              <w:jc w:val="right"/>
              <w:ind w:right="159"/>
              <w:spacing w:after="0" w:line="142" w:lineRule="exact"/>
              <w:rPr>
                <w:sz w:val="20"/>
                <w:szCs w:val="20"/>
                <w:color w:val="auto"/>
              </w:rPr>
            </w:pPr>
            <w:r>
              <w:rPr>
                <w:rFonts w:ascii="Times New Roman" w:cs="Times New Roman" w:eastAsia="Times New Roman" w:hAnsi="Times New Roman"/>
                <w:sz w:val="14"/>
                <w:szCs w:val="14"/>
                <w:b w:val="1"/>
                <w:bCs w:val="1"/>
                <w:color w:val="auto"/>
              </w:rPr>
              <w:t>2028</w:t>
            </w:r>
          </w:p>
        </w:tc>
        <w:tc>
          <w:tcPr>
            <w:tcW w:w="640" w:type="dxa"/>
            <w:vAlign w:val="bottom"/>
            <w:tcBorders>
              <w:bottom w:val="single" w:sz="8" w:color="auto"/>
            </w:tcBorders>
          </w:tcPr>
          <w:p>
            <w:pPr>
              <w:jc w:val="right"/>
              <w:ind w:right="19"/>
              <w:spacing w:after="0" w:line="142" w:lineRule="exact"/>
              <w:rPr>
                <w:sz w:val="20"/>
                <w:szCs w:val="20"/>
                <w:color w:val="auto"/>
              </w:rPr>
            </w:pPr>
            <w:r>
              <w:rPr>
                <w:rFonts w:ascii="Times New Roman" w:cs="Times New Roman" w:eastAsia="Times New Roman" w:hAnsi="Times New Roman"/>
                <w:sz w:val="14"/>
                <w:szCs w:val="14"/>
                <w:b w:val="1"/>
                <w:bCs w:val="1"/>
                <w:color w:val="auto"/>
              </w:rPr>
              <w:t>2029</w:t>
            </w:r>
          </w:p>
        </w:tc>
        <w:tc>
          <w:tcPr>
            <w:tcW w:w="60" w:type="dxa"/>
            <w:vAlign w:val="bottom"/>
          </w:tcPr>
          <w:p>
            <w:pPr>
              <w:spacing w:after="0"/>
              <w:rPr>
                <w:sz w:val="12"/>
                <w:szCs w:val="12"/>
                <w:color w:val="auto"/>
              </w:rPr>
            </w:pPr>
          </w:p>
        </w:tc>
      </w:tr>
      <w:tr>
        <w:trPr>
          <w:trHeight w:val="142"/>
        </w:trPr>
        <w:tc>
          <w:tcPr>
            <w:tcW w:w="448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300" w:type="dxa"/>
            <w:vAlign w:val="bottom"/>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(Amounts in thousands)</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expense</w:t>
            </w:r>
          </w:p>
        </w:tc>
        <w:tc>
          <w:tcPr>
            <w:tcW w:w="354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$2,553</w:t>
            </w:r>
          </w:p>
        </w:tc>
        <w:tc>
          <w:tcPr>
            <w:tcW w:w="76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8"/>
                <w:szCs w:val="18"/>
                <w:color w:val="auto"/>
              </w:rPr>
              <w:t>$2,413</w:t>
            </w:r>
          </w:p>
        </w:tc>
        <w:tc>
          <w:tcPr>
            <w:tcW w:w="7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$2,025</w:t>
            </w: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$1,637</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r>
    </w:tbl>
    <w:p>
      <w:pPr>
        <w:spacing w:after="0" w:line="342" w:lineRule="exact"/>
        <w:rPr>
          <w:sz w:val="20"/>
          <w:szCs w:val="20"/>
          <w:color w:val="auto"/>
        </w:rPr>
      </w:pPr>
    </w:p>
    <w:p>
      <w:pPr>
        <w:ind w:left="540" w:hanging="424"/>
        <w:spacing w:after="0"/>
        <w:tabs>
          <w:tab w:leader="none" w:pos="5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The Company rents certain office facilities and equipment under noncancelable operating leases. As of June 30, 2025, approximately 94,000 square feet of office space is utilized for our sales and recruiting offices, delivery centers, and corporate headquarters. All of our leases are classified as operating leases. The average initial lease term is 3.9 years. Several leases have an option to renew, at our sole discretion, for an additional term. Our present lease terms range from less than one year to 4.3 years with a weighted average of 2.7 years. Leases with an initial term of twelve months or less are not recorded on the balance sheet.</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the balance sheet classification of the lease assets and related lease liabilities: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780" w:type="dxa"/>
            <w:vAlign w:val="bottom"/>
          </w:tcPr>
          <w:p>
            <w:pPr>
              <w:spacing w:after="0"/>
              <w:rPr>
                <w:sz w:val="15"/>
                <w:szCs w:val="15"/>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42"/>
        </w:trPr>
        <w:tc>
          <w:tcPr>
            <w:tcW w:w="5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Long-term operating lease right-of-use assets</w:t>
            </w: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3,192</w:t>
            </w:r>
          </w:p>
        </w:tc>
        <w:tc>
          <w:tcPr>
            <w:tcW w:w="12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3,832</w:t>
            </w:r>
          </w:p>
        </w:tc>
      </w:tr>
      <w:tr>
        <w:trPr>
          <w:trHeight w:val="20"/>
        </w:trPr>
        <w:tc>
          <w:tcPr>
            <w:tcW w:w="5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Short-term operating lease liability</w:t>
            </w: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1,313</w:t>
            </w:r>
          </w:p>
        </w:tc>
        <w:tc>
          <w:tcPr>
            <w:tcW w:w="12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1,265</w:t>
            </w:r>
          </w:p>
        </w:tc>
      </w:tr>
      <w:tr>
        <w:trPr>
          <w:trHeight w:val="216"/>
        </w:trPr>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Long-term operating lease liability</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1,825</w:t>
            </w: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2,486</w:t>
            </w:r>
          </w:p>
        </w:tc>
      </w:tr>
      <w:tr>
        <w:trPr>
          <w:trHeight w:val="223"/>
        </w:trPr>
        <w:tc>
          <w:tcPr>
            <w:tcW w:w="5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Liabilities</w:t>
            </w: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3,138</w:t>
            </w:r>
          </w:p>
        </w:tc>
        <w:tc>
          <w:tcPr>
            <w:tcW w:w="20" w:type="dxa"/>
            <w:vAlign w:val="bottom"/>
            <w:tcBorders>
              <w:bottom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3,751</w:t>
            </w:r>
          </w:p>
        </w:tc>
        <w:tc>
          <w:tcPr>
            <w:tcW w:w="40" w:type="dxa"/>
            <w:vAlign w:val="bottom"/>
          </w:tcPr>
          <w:p>
            <w:pPr>
              <w:spacing w:after="0"/>
              <w:rPr>
                <w:sz w:val="19"/>
                <w:szCs w:val="19"/>
                <w:color w:val="auto"/>
              </w:rPr>
            </w:pPr>
          </w:p>
        </w:tc>
      </w:tr>
      <w:tr>
        <w:trPr>
          <w:trHeight w:val="20"/>
        </w:trPr>
        <w:tc>
          <w:tcPr>
            <w:tcW w:w="5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Future minimum rental payments for office facilities and equipment under the Company’s noncancelable operating leases are as follows:</w:t>
      </w:r>
    </w:p>
    <w:p>
      <w:pPr>
        <w:spacing w:after="0" w:line="233"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480" w:type="dxa"/>
            <w:vAlign w:val="bottom"/>
          </w:tcPr>
          <w:p>
            <w:pPr>
              <w:spacing w:after="0"/>
              <w:rPr>
                <w:sz w:val="13"/>
                <w:szCs w:val="13"/>
                <w:color w:val="auto"/>
              </w:rPr>
            </w:pP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 as of</w:t>
            </w:r>
          </w:p>
        </w:tc>
      </w:tr>
      <w:tr>
        <w:trPr>
          <w:trHeight w:val="173"/>
        </w:trPr>
        <w:tc>
          <w:tcPr>
            <w:tcW w:w="20" w:type="dxa"/>
            <w:vAlign w:val="bottom"/>
          </w:tcPr>
          <w:p>
            <w:pPr>
              <w:spacing w:after="0"/>
              <w:rPr>
                <w:sz w:val="15"/>
                <w:szCs w:val="15"/>
                <w:color w:val="auto"/>
              </w:rPr>
            </w:pPr>
          </w:p>
        </w:tc>
        <w:tc>
          <w:tcPr>
            <w:tcW w:w="6480" w:type="dxa"/>
            <w:vAlign w:val="bottom"/>
          </w:tcPr>
          <w:p>
            <w:pPr>
              <w:spacing w:after="0"/>
              <w:rPr>
                <w:sz w:val="15"/>
                <w:szCs w:val="15"/>
                <w:color w:val="auto"/>
              </w:rPr>
            </w:pP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2025</w:t>
            </w:r>
          </w:p>
        </w:tc>
      </w:tr>
      <w:tr>
        <w:trPr>
          <w:trHeight w:val="142"/>
        </w:trPr>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88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 (for remainder of year)</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725</w:t>
            </w: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1,440</w:t>
            </w: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775</w:t>
            </w: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2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259</w:t>
            </w: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196</w:t>
            </w:r>
          </w:p>
        </w:tc>
      </w:tr>
      <w:tr>
        <w:trPr>
          <w:trHeight w:val="223"/>
        </w:trPr>
        <w:tc>
          <w:tcPr>
            <w:tcW w:w="2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3,395</w:t>
            </w:r>
          </w:p>
        </w:tc>
      </w:tr>
      <w:tr>
        <w:trPr>
          <w:trHeight w:val="223"/>
        </w:trPr>
        <w:tc>
          <w:tcPr>
            <w:tcW w:w="2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28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(257)</w:t>
            </w: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operating lease liabilities</w:t>
            </w: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3,138</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weighted average discount rate used to calculate the present value of future lease payments was 5.6%.</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recognize rent expense for these leases on a straight-line basis over the lease term. Rental expense for the three and six months ended June 30,</w:t>
      </w:r>
    </w:p>
    <w:p>
      <w:pPr>
        <w:spacing w:after="0" w:line="27" w:lineRule="exact"/>
        <w:rPr>
          <w:sz w:val="20"/>
          <w:szCs w:val="20"/>
          <w:color w:val="auto"/>
        </w:rPr>
      </w:pPr>
    </w:p>
    <w:p>
      <w:pPr>
        <w:ind w:left="120" w:right="500"/>
        <w:spacing w:after="0" w:line="260" w:lineRule="auto"/>
        <w:rPr>
          <w:sz w:val="20"/>
          <w:szCs w:val="20"/>
          <w:color w:val="auto"/>
        </w:rPr>
      </w:pPr>
      <w:r>
        <w:rPr>
          <w:rFonts w:ascii="Times New Roman" w:cs="Times New Roman" w:eastAsia="Times New Roman" w:hAnsi="Times New Roman"/>
          <w:sz w:val="18"/>
          <w:szCs w:val="18"/>
          <w:color w:val="auto"/>
        </w:rPr>
        <w:t>2025 totaled $0.4 million and $0.8 million, respectively. Rental expense for the three and six months ended June 30, 2024 totaled $0.3 million and $0.7 million, respectively.</w:t>
      </w:r>
    </w:p>
    <w:p>
      <w:pPr>
        <w:spacing w:after="0" w:line="1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40"/>
          </w:cols>
          <w:pgMar w:left="320" w:top="482" w:right="4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Total cash paid for lease liabilities for the three and six months ended June 30, 2025 totaled $0.3 million and $0.7 million, respectively. Total cash paid for lease liabilities for the three and six months ended June 30, 2024 totaled $0.3 million and $0.7 million, respectively.</w:t>
      </w:r>
    </w:p>
    <w:p>
      <w:pPr>
        <w:spacing w:after="0" w:line="162"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There were no new leases entered into during the three and six months ended June 30, 2025 and 2024. New leases are considered non-cash transactions.</w:t>
      </w:r>
    </w:p>
    <w:p>
      <w:pPr>
        <w:spacing w:after="0" w:line="306" w:lineRule="exact"/>
        <w:rPr>
          <w:sz w:val="20"/>
          <w:szCs w:val="20"/>
          <w:color w:val="auto"/>
        </w:rPr>
      </w:pPr>
    </w:p>
    <w:p>
      <w:pPr>
        <w:ind w:left="540" w:hanging="424"/>
        <w:spacing w:after="0"/>
        <w:tabs>
          <w:tab w:leader="none" w:pos="5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21"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In the ordinary course of our business, the Company is involved in a number of lawsuits and administrative proceedings. While uncertainties are inherent in the final outcome of these matters, the Company’s management believes, after consultation with legal counsel, that the disposition of these proceedings should not have a material adverse effect on our financial position, results of operations or cash flows.</w:t>
      </w:r>
    </w:p>
    <w:p>
      <w:pPr>
        <w:spacing w:after="0" w:line="320" w:lineRule="exact"/>
        <w:rPr>
          <w:sz w:val="20"/>
          <w:szCs w:val="20"/>
          <w:color w:val="auto"/>
        </w:rPr>
      </w:pPr>
    </w:p>
    <w:p>
      <w:pPr>
        <w:ind w:left="540" w:hanging="424"/>
        <w:spacing w:after="0"/>
        <w:tabs>
          <w:tab w:leader="none" w:pos="5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Benefit Plan</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Company provides an Employee Retirement Savings Plan (the “Retirement Plan”) under Section 401(k) of the Internal Revenue Code of 1986, as amended (the “Code”), that covers substantially all U.S. based salaried and W-2 hourly employees. Employees may contribute a percentage of eligible compensation to the Retirement Plan, subject to certain limits under the Code. The Company did not provide for any matching contributions for the three and six months ended June 30, 2025, and 2024.</w:t>
      </w:r>
    </w:p>
    <w:p>
      <w:pPr>
        <w:spacing w:after="0" w:line="324" w:lineRule="exact"/>
        <w:rPr>
          <w:sz w:val="20"/>
          <w:szCs w:val="20"/>
          <w:color w:val="auto"/>
        </w:rPr>
      </w:pPr>
    </w:p>
    <w:p>
      <w:pPr>
        <w:ind w:left="540" w:hanging="424"/>
        <w:spacing w:after="0"/>
        <w:tabs>
          <w:tab w:leader="none" w:pos="5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In 2008, the Company adopted a Stock Incentive Plan. This stock incentive plan was amended and restated effective as of May 14, 2024 and further amended on May 14, 2025 (as amended from time to time, the “Plan”). The Plan provides that up to 6,200,000 shares of the Company’s common stock, par value $0.01 per share (“Common Stock”) shall be allocated for issuance to directors, officers, employees and consultants of the Company. Grants under the Plan may be made in the form of stock options, stock appreciation rights, performance share awards, restricted stock awards or stock awards.</w:t>
      </w:r>
    </w:p>
    <w:p>
      <w:pPr>
        <w:spacing w:after="0" w:line="183"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On December 10, 2024, the Board approved and adopted the 2024 Inducement Stock Incentive Plan and reserved 1,500,000 shares of Common Stock for issuance of awards under the 2024 Inducement Stock Incentive Plan. The 2024 Inducement Stock Incentive Plan was approved and adopted without shareholder approval pursuant to NYSE American Guide Rule 711 and provided for grants of non-qualified stock options, restricted stock awards, stock awards, performance share awards and other stock-based awards (each, an “Inducement Award”). Effective May 14, 2025, the 2024 Inducement Stock Incentive Plan was terminated, which means that no further grants can be made under the 2024 Inducement Stock Incentive Plan but existing outstanding awards granted pursuant to this plan continue to be governed by the plan’s terms. The 2024 Inducement Stock Incentive Plan was established exclusively to grant equity awards to individuals who were not previously employees or directors of the Company, as an inducement to join the Company.</w:t>
      </w:r>
    </w:p>
    <w:p>
      <w:pPr>
        <w:spacing w:after="0" w:line="192"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During the three months ended June 30, 2025, the Company granted zero restricted share units and 235,000 stock options at a strike price of $7.51 under the Plan. During the three months ended June 30, 2024, the Company granted zero restricted share units and 140,000 stock options at a strike price of $8.59 under the Plan.</w:t>
      </w:r>
    </w:p>
    <w:p>
      <w:pPr>
        <w:spacing w:after="0" w:line="176"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During the six months ended June 30, 2025, the Company granted 22,140 restricted share units and 235,000 stock options at an average strike price of $7.51 under the Plan and 702,358 stock options at a strike price of $15.41 under the 2024 Inducement Stock Incentive Plan. During the six months ended June 30, 2024, the Company granted 29,612 restricted share units and 525,000 stock options at an average strike price of $8.41 under the Plan. As of June 30, 2025 there were 1,054,000 shares of Common Stock available for grants under the Plan.</w:t>
      </w:r>
    </w:p>
    <w:p>
      <w:pPr>
        <w:spacing w:after="0" w:line="180"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Stock-based compensation expense for the three months ended June 30, 2025 and 2024 was $714,000 and $461,000, respectively, and for the six months ended June 30, 2025 and 2024 was $1.6 million and $1.0 million, respectively. Stock-based compensation expense is included in selling, general and administrative expenses in the Condensed Consolidated Statements of Operations.</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During the three and six months ended June 30, 2025, the Company issued 18,010 and 39,931 shares, respectively, related to the grant of restricted share units and the exercise of stock options. During the three and six months ended June 30, 2024, the Company issued 50,719 and 70,643 shares, respectively, related to the grant of restricted share units and the exercise of stock options.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82"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In October 2018, the Board of Directors of the Company approved the Mastech Digital, Inc. 2019 Employee Stock Purchase Plan (the “Employee Stock Purchase Plan”). The Employee Stock Purchase Plan is intended to meet the requirements of Section 423 of the Code and was approved by the Company’s shareholders to be qualified. On May 15, 2019, the Company’s shareholders approved the Employee Stock Purchase Plan. Under the Employee Stock Purchase Plan, 600,000 shares of Common Stock (subject to adjustment upon certain changes in the Company’s capitalization) are available for purchase by eligible employees who become participants in the Employee Stock Purchase Plan. The purchase price per share is 85% of the lesser of (i) the fair market value per share of Common Stock on the first day of the offering period, or (ii) the fair market value per share of Common Stock on the last day of the offering period.</w:t>
      </w:r>
    </w:p>
    <w:p>
      <w:pPr>
        <w:spacing w:after="0" w:line="18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Company’s eligible full-time employees are able to contribute up to 15% of their base compensation into the Employee Stock Purchase Plan, subject to an annual limit of $25,000 per person. Employees are able to purchase Company Common Stock at a 15% discount to the lower of the fair market value of the Company’s Common Stock on the initial or final trading dates of each six-month offering period. Offering periods begin on January 1 and July 1 of each year. The Company uses the Black-Scholes option pricing model to determine the fair value of Employee Stock Purchase Plan share-based payments. The fair value of the six-month “look-back” option in the Company’s Employee Stock Purchase Plan is estimated by adding the fair value of 15% of one share of stock to 85% of the fair value of an option on one share of stock. The Company utilized U.S. Treasury yields as of the grant date for its risk-free interest rate assumption, matching the Treasury yield terms to the six-month offering period. The Company utilized historical company data to develop its dividend yield and expected volatility assumptions.</w:t>
      </w:r>
    </w:p>
    <w:p>
      <w:pPr>
        <w:spacing w:after="0" w:line="192"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During the three and six months ended June 30, 2025 and 2024, there were 11,483 shares and 21,329 shares issued under the Employee Stock Purchase Plan at a share price of $6.09 and $6.38, respectively. Stock-based compensation expense related to the Stock Purchase Plan for the three months ended June 30, 2025 and 2024 totaled $21,000 and $27,000, respectively. Stock-based compensation expense related to the Stock Purchase Plan for the six months ended June 30, 2025 and 2024 totaled $42,000 and $54,000, respectively, and is included in selling, general and administrative expenses in the Condensed Consolidated Statements of Operations for the six months ended June 30, 2025 and 2024. As of June 30, 2025, there were 420,576 shares available for purchases under the Employee Stock Purchase Plan.</w:t>
      </w:r>
    </w:p>
    <w:p>
      <w:pPr>
        <w:spacing w:after="0" w:line="332" w:lineRule="exact"/>
        <w:rPr>
          <w:sz w:val="20"/>
          <w:szCs w:val="20"/>
          <w:color w:val="auto"/>
        </w:rPr>
      </w:pPr>
    </w:p>
    <w:p>
      <w:pPr>
        <w:ind w:left="540" w:hanging="424"/>
        <w:spacing w:after="0"/>
        <w:tabs>
          <w:tab w:leader="none" w:pos="5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Credit Facility</w:t>
      </w:r>
    </w:p>
    <w:p>
      <w:pPr>
        <w:spacing w:after="0" w:line="121" w:lineRule="exact"/>
        <w:rPr>
          <w:sz w:val="20"/>
          <w:szCs w:val="20"/>
          <w:color w:val="auto"/>
        </w:rPr>
      </w:pPr>
    </w:p>
    <w:p>
      <w:pPr>
        <w:ind w:left="120" w:right="40" w:firstLine="440"/>
        <w:spacing w:after="0" w:line="273" w:lineRule="auto"/>
        <w:rPr>
          <w:sz w:val="20"/>
          <w:szCs w:val="20"/>
          <w:color w:val="auto"/>
        </w:rPr>
      </w:pPr>
      <w:r>
        <w:rPr>
          <w:rFonts w:ascii="Times New Roman" w:cs="Times New Roman" w:eastAsia="Times New Roman" w:hAnsi="Times New Roman"/>
          <w:sz w:val="17"/>
          <w:szCs w:val="17"/>
          <w:color w:val="auto"/>
        </w:rPr>
        <w:t>On July 13, 2017, the Company entered into a Credit Agreement (the “Credit Agreement”) with PNC Bank, as administrative agent, swing loan lender and issuing lender, PNC Capital Markets LLC, as sole lead arranger and sole book-runner, and certain financial institution parties thereto as lenders (the “Lenders”). The Credit Agreement, as amended, provides for a total aggregate commitment of $53.1 million, consisting of (i) a revolving credit facility (the “Revolver”) in an aggregate principal amount not to exceed $40 million and (ii) a $13.1 million term loan facility (the “Term Loan), as more fully described in Exhibit 10.1 to the Company’s Form 8-Ks filed with the SEC on July 19, 2017, April 25, 2018, October 7, 2020, Exhibit 10.2 to the Form 8-K/A filed with the SEC on January 4, 2022 and Exhibits 10.11 and 10.12 to the Company’s Form 10-K filed with the SEC on March 15, 2024. Additionally, the facility includes an accordion feature for additional borrowing of up to $20 million upon satisfaction of certain conditions.</w:t>
      </w:r>
    </w:p>
    <w:p>
      <w:pPr>
        <w:spacing w:after="0" w:line="171" w:lineRule="exact"/>
        <w:rPr>
          <w:sz w:val="20"/>
          <w:szCs w:val="20"/>
          <w:color w:val="auto"/>
        </w:rPr>
      </w:pPr>
    </w:p>
    <w:p>
      <w:pPr>
        <w:ind w:left="120" w:firstLine="440"/>
        <w:spacing w:after="0" w:line="270" w:lineRule="auto"/>
        <w:rPr>
          <w:sz w:val="20"/>
          <w:szCs w:val="20"/>
          <w:color w:val="auto"/>
        </w:rPr>
      </w:pPr>
      <w:r>
        <w:rPr>
          <w:rFonts w:ascii="Times New Roman" w:cs="Times New Roman" w:eastAsia="Times New Roman" w:hAnsi="Times New Roman"/>
          <w:sz w:val="17"/>
          <w:szCs w:val="17"/>
          <w:color w:val="auto"/>
        </w:rPr>
        <w:t>The Revolver expires in December 2026 and includes swing loan and letter of credit sub-limits in the aggregate amount not to exceed $6.0 million for swing loans and $5.0 million for letters of credit. Borrowings under the Revolver may be denominated in U.S. dollars or Canadian dollars. The maximum borrowings in U.S. dollars may not exceed the sum of 85% of eligible U.S. accounts receivable and 60% of eligible U.S. unbilled receivables, less a reserve amount established by the administrative agent. The maximum borrowings in Canadian dollars may not exceed the lesser of (i)</w:t>
      </w:r>
    </w:p>
    <w:p>
      <w:pPr>
        <w:spacing w:after="0" w:line="3" w:lineRule="exact"/>
        <w:rPr>
          <w:sz w:val="20"/>
          <w:szCs w:val="20"/>
          <w:color w:val="auto"/>
        </w:rPr>
      </w:pPr>
    </w:p>
    <w:p>
      <w:pPr>
        <w:ind w:left="120" w:right="460"/>
        <w:spacing w:after="0" w:line="260" w:lineRule="auto"/>
        <w:rPr>
          <w:sz w:val="20"/>
          <w:szCs w:val="20"/>
          <w:color w:val="auto"/>
        </w:rPr>
      </w:pPr>
      <w:r>
        <w:rPr>
          <w:rFonts w:ascii="Times New Roman" w:cs="Times New Roman" w:eastAsia="Times New Roman" w:hAnsi="Times New Roman"/>
          <w:sz w:val="18"/>
          <w:szCs w:val="18"/>
          <w:color w:val="auto"/>
        </w:rPr>
        <w:t>$10.0 million; and (ii) the sum of 85% of eligible Canadian receivables, plus 60% of eligible Canadian unbilled receivables, less a reserve amount established by the administrative agent.</w:t>
      </w:r>
    </w:p>
    <w:p>
      <w:pPr>
        <w:spacing w:after="0" w:line="181" w:lineRule="exact"/>
        <w:rPr>
          <w:sz w:val="20"/>
          <w:szCs w:val="20"/>
          <w:color w:val="auto"/>
        </w:rPr>
      </w:pPr>
    </w:p>
    <w:p>
      <w:pPr>
        <w:jc w:val="both"/>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Amounts borrowed under the Term Loan were required to be repaid in consecutive quarterly installments of $1.1 million through and including the maturity date of October 1, 2024. In August 2022, the Company prepaid $7.6 million of the outstanding term loan with excess cash balances. The final term loan payment of $1.1 million was made on January 3, 2023, taking the outstanding balance to zero.</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Borrowings under the Revolver and the Term Loan, which may be made at the Company’s election, bear interest at either (a) the higher of PNC’s prime rate or the federal funds rate plus 0.50%, plus an applicable margin determined based upon the Company’s senior leverage ratio or (b) the Secured Overnight Financing Rate (“SOFR”), plus an applicable margin determined based upon the Company’s senior leverage ratio. The applicable margin on the base rate is between 0.50% and 1.25% on Revolver borrowings and between 1.75% and 2.50% on Term Loan borrowings. The applicable margin on the SOFR is between 1.50% and 2.25% on Revolver borrowings and between 2.75% and 3.50% on Term Loan borrowings. A 20 to 30-basis point per annum commitment fee on the unused portion of the Revolver is charged and due monthly in arrears. The applicable commitment fee is determined based upon the Company’s senior leverage ratio.</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00"/>
          </w:cols>
          <w:pgMar w:left="320" w:top="482" w:right="4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The Company pledged substantially all of its assets in support of the Credit Agreement. The Credit Agreement contains standard financial covenants, including, but not limited to, covenants related to the Company’s senior leverage ratio and fixed charge ratio (as defined under the Credit Agreement) and limitations on liens, indebtedness, guarantees, contingent liabilities, loans and investments, distributions, leases, asset sales, stock repurchases and mergers and acquisitions. As of June 30, 2025, the Company was in compliance with all applicable provisions of the Credit Agreement.</w:t>
      </w:r>
    </w:p>
    <w:p>
      <w:pPr>
        <w:spacing w:after="0" w:line="16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connection with securing the commitments under the Credit Agreement and the April 20, 2018, October 1, 2020, December 29, 2021 and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December 29, 2023 amendments to the Credit Agreement, the Company paid a commitment fee and incurred deferred financing costs totaling</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$1,039,000, which were capitalized and are being amortized as interest expense over the life of the Credit Facility. Deferred financing costs of $142,000</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and $189,000 (net of amortization) as of June 30, 2025, and December 31, 2024, respectively, are presented as long-term assets in the Company’s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Consolidated Balance Sheets.</w:t>
      </w:r>
    </w:p>
    <w:p>
      <w:pPr>
        <w:spacing w:after="0" w:line="207"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As of June 30, 2025, and December 31, 2024, the Company’s outstanding borrowings under the Revolver totaled zero dollars; and unused borrowing capacity available was approximately $22.2 million and $22.5 million, respectively. There were no outstanding borrowings under the Term Loan at June 30, 2025, and December 31, 2024. On May 9, 2024, the Company issued two standby Letters of Credit for $162,000 each from PNC Bank to a Vietnam client to secure certain performance and advance payment guarantees made to the client on an existing fixed price Data and Analytics Services assignment. The letters of credit are scheduled to expire on March 21, 2026.</w:t>
      </w:r>
    </w:p>
    <w:p>
      <w:pPr>
        <w:spacing w:after="0" w:line="328" w:lineRule="exact"/>
        <w:rPr>
          <w:sz w:val="20"/>
          <w:szCs w:val="20"/>
          <w:color w:val="auto"/>
        </w:rPr>
      </w:pPr>
    </w:p>
    <w:p>
      <w:pPr>
        <w:ind w:left="540" w:hanging="424"/>
        <w:spacing w:after="0"/>
        <w:tabs>
          <w:tab w:leader="none" w:pos="5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The components of income (loss) before income taxes, as shown in the accompanying Financial Statements, consisted of the following for the three and six months ended June 30, 2025 and 2024:</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120" w:type="dxa"/>
            <w:vAlign w:val="bottom"/>
          </w:tcPr>
          <w:p>
            <w:pPr>
              <w:spacing w:after="0"/>
              <w:rPr>
                <w:sz w:val="13"/>
                <w:szCs w:val="13"/>
                <w:color w:val="auto"/>
              </w:rPr>
            </w:pPr>
          </w:p>
        </w:tc>
        <w:tc>
          <w:tcPr>
            <w:tcW w:w="1800" w:type="dxa"/>
            <w:vAlign w:val="bottom"/>
            <w:gridSpan w:val="7"/>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40" w:type="dxa"/>
            <w:vAlign w:val="bottom"/>
            <w:gridSpan w:val="6"/>
          </w:tcPr>
          <w:p>
            <w:pPr>
              <w:ind w:left="12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5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4"/>
          </w:tcPr>
          <w:p>
            <w:pPr>
              <w:jc w:val="center"/>
              <w:ind w:left="27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60" w:type="dxa"/>
            <w:vAlign w:val="bottom"/>
            <w:tcBorders>
              <w:bottom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Borders>
              <w:bottom w:val="single" w:sz="8" w:color="auto"/>
            </w:tcBorders>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42"/>
        </w:trPr>
        <w:tc>
          <w:tcPr>
            <w:tcW w:w="5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7"/>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3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40" w:type="dxa"/>
            <w:vAlign w:val="bottom"/>
          </w:tcPr>
          <w:p>
            <w:pPr>
              <w:spacing w:after="0"/>
              <w:rPr>
                <w:sz w:val="12"/>
                <w:szCs w:val="12"/>
                <w:color w:val="auto"/>
              </w:rPr>
            </w:pPr>
          </w:p>
        </w:tc>
      </w:tr>
      <w:tr>
        <w:trPr>
          <w:trHeight w:val="142"/>
        </w:trPr>
        <w:tc>
          <w:tcPr>
            <w:tcW w:w="5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20" w:type="dxa"/>
            <w:vAlign w:val="bottom"/>
            <w:gridSpan w:val="5"/>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(Amounts in thousands)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Domestic</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(418)</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615</w:t>
            </w:r>
          </w:p>
        </w:tc>
        <w:tc>
          <w:tcPr>
            <w:tcW w:w="7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w w:val="97"/>
              </w:rPr>
              <w:t>$(3,004)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299</w:t>
            </w:r>
          </w:p>
        </w:tc>
      </w:tr>
      <w:tr>
        <w:trPr>
          <w:trHeight w:val="216"/>
        </w:trPr>
        <w:tc>
          <w:tcPr>
            <w:tcW w:w="5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628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1,194</w:t>
            </w:r>
          </w:p>
        </w:tc>
        <w:tc>
          <w:tcPr>
            <w:tcW w:w="7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1,452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1,228</w:t>
            </w:r>
          </w:p>
        </w:tc>
      </w:tr>
      <w:tr>
        <w:trPr>
          <w:trHeight w:val="223"/>
        </w:trPr>
        <w:tc>
          <w:tcPr>
            <w:tcW w:w="51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1,809</w:t>
            </w:r>
          </w:p>
        </w:tc>
        <w:tc>
          <w:tcPr>
            <w:tcW w:w="36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(1,552</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1,527</w:t>
            </w:r>
          </w:p>
        </w:tc>
        <w:tc>
          <w:tcPr>
            <w:tcW w:w="40" w:type="dxa"/>
            <w:vAlign w:val="bottom"/>
          </w:tcPr>
          <w:p>
            <w:pPr>
              <w:spacing w:after="0"/>
              <w:rPr>
                <w:sz w:val="19"/>
                <w:szCs w:val="19"/>
                <w:color w:val="auto"/>
              </w:rPr>
            </w:pPr>
          </w:p>
        </w:tc>
      </w:tr>
      <w:tr>
        <w:trPr>
          <w:trHeight w:val="20"/>
        </w:trPr>
        <w:tc>
          <w:tcPr>
            <w:tcW w:w="5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Company has foreign subsidiaries which generate revenues from non-U.S.-based clients. Additionally, these subsidiaries provide services to the Company’s U.S. operations. Accordingly, the Company allocates a portion of its income (loss) to these subsidiaries based on a “transfer pricing” model and reports such income (loss) as foreign in the above table.</w:t>
      </w:r>
    </w:p>
    <w:p>
      <w:pPr>
        <w:spacing w:after="0" w:line="176"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The provision (benefit) for income taxes, as shown in the accompanying Financial Statements, consisted of the following for the three and six months ended June 30, 2025 and 2024:</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6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700" w:type="dxa"/>
            <w:vAlign w:val="bottom"/>
            <w:gridSpan w:val="7"/>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1440" w:type="dxa"/>
            <w:vAlign w:val="bottom"/>
            <w:gridSpan w:val="5"/>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36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6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1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2"/>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2024</w:t>
            </w:r>
          </w:p>
        </w:tc>
        <w:tc>
          <w:tcPr>
            <w:tcW w:w="2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80" w:type="dxa"/>
            <w:vAlign w:val="bottom"/>
            <w:gridSpan w:val="7"/>
          </w:tcPr>
          <w:p>
            <w:pPr>
              <w:jc w:val="right"/>
              <w:ind w:right="301"/>
              <w:spacing w:after="0" w:line="142" w:lineRule="exact"/>
              <w:rPr>
                <w:sz w:val="20"/>
                <w:szCs w:val="20"/>
                <w:color w:val="auto"/>
              </w:rPr>
            </w:pPr>
            <w:r>
              <w:rPr>
                <w:rFonts w:ascii="Times New Roman" w:cs="Times New Roman" w:eastAsia="Times New Roman" w:hAnsi="Times New Roman"/>
                <w:sz w:val="14"/>
                <w:szCs w:val="14"/>
                <w:b w:val="1"/>
                <w:bCs w:val="1"/>
                <w:color w:val="auto"/>
              </w:rPr>
              <w:t>(Amounts in thousands)</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provision (benefit):</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313</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1020" w:type="dxa"/>
            <w:vAlign w:val="bottom"/>
            <w:gridSpan w:val="3"/>
          </w:tcPr>
          <w:p>
            <w:pPr>
              <w:jc w:val="right"/>
              <w:ind w:right="261"/>
              <w:spacing w:after="0"/>
              <w:rPr>
                <w:sz w:val="20"/>
                <w:szCs w:val="20"/>
                <w:color w:val="auto"/>
              </w:rPr>
            </w:pPr>
            <w:r>
              <w:rPr>
                <w:rFonts w:ascii="Times New Roman" w:cs="Times New Roman" w:eastAsia="Times New Roman" w:hAnsi="Times New Roman"/>
                <w:sz w:val="18"/>
                <w:szCs w:val="18"/>
                <w:color w:val="auto"/>
              </w:rPr>
              <w:t>$ (263)</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w:t>
            </w:r>
          </w:p>
        </w:tc>
        <w:tc>
          <w:tcPr>
            <w:tcW w:w="1020" w:type="dxa"/>
            <w:vAlign w:val="bottom"/>
            <w:gridSpan w:val="3"/>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3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color w:val="auto"/>
              </w:rPr>
              <w:t>439</w:t>
            </w:r>
          </w:p>
        </w:tc>
        <w:tc>
          <w:tcPr>
            <w:tcW w:w="8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301</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provision (benefit)</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128</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23"/>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Deferred provision (benefit):</w:t>
            </w:r>
          </w:p>
        </w:tc>
        <w:tc>
          <w:tcPr>
            <w:tcW w:w="14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w:t>
            </w:r>
          </w:p>
        </w:tc>
        <w:tc>
          <w:tcPr>
            <w:tcW w:w="1020" w:type="dxa"/>
            <w:vAlign w:val="bottom"/>
            <w:gridSpan w:val="3"/>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(361)</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16"/>
        </w:trPr>
        <w:tc>
          <w:tcPr>
            <w:tcW w:w="3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w:t>
            </w:r>
          </w:p>
        </w:tc>
        <w:tc>
          <w:tcPr>
            <w:tcW w:w="1020" w:type="dxa"/>
            <w:vAlign w:val="bottom"/>
            <w:gridSpan w:val="3"/>
          </w:tcPr>
          <w:p>
            <w:pPr>
              <w:jc w:val="right"/>
              <w:ind w:right="261"/>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w:t>
            </w:r>
          </w:p>
        </w:tc>
        <w:tc>
          <w:tcPr>
            <w:tcW w:w="1020" w:type="dxa"/>
            <w:vAlign w:val="bottom"/>
            <w:gridSpan w:val="3"/>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0"/>
        </w:trPr>
        <w:tc>
          <w:tcPr>
            <w:tcW w:w="36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deferred provision (benefit)</w:t>
            </w:r>
          </w:p>
        </w:tc>
        <w:tc>
          <w:tcPr>
            <w:tcW w:w="14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4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(93)</w:t>
            </w:r>
          </w:p>
        </w:tc>
        <w:tc>
          <w:tcPr>
            <w:tcW w:w="1020" w:type="dxa"/>
            <w:vAlign w:val="bottom"/>
            <w:gridSpan w:val="3"/>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Total provision (benefit) for income taxes</w:t>
            </w:r>
          </w:p>
        </w:tc>
        <w:tc>
          <w:tcPr>
            <w:tcW w:w="14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 (248</w:t>
            </w:r>
          </w:p>
        </w:tc>
        <w:tc>
          <w:tcPr>
            <w:tcW w:w="400" w:type="dxa"/>
            <w:vAlign w:val="bottom"/>
          </w:tcPr>
          <w:p>
            <w:pPr>
              <w:jc w:val="right"/>
              <w:ind w:right="26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460" w:type="dxa"/>
            <w:vAlign w:val="bottom"/>
            <w:vMerge w:val="restart"/>
          </w:tcPr>
          <w:p>
            <w:pPr>
              <w:jc w:val="right"/>
              <w:ind w:right="69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600" w:type="dxa"/>
            <w:vAlign w:val="bottom"/>
          </w:tcPr>
          <w:p>
            <w:pPr>
              <w:spacing w:after="0"/>
              <w:rPr>
                <w:sz w:val="24"/>
                <w:szCs w:val="24"/>
                <w:color w:val="auto"/>
              </w:rPr>
            </w:pPr>
          </w:p>
        </w:tc>
        <w:tc>
          <w:tcPr>
            <w:tcW w:w="14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82" w:right="4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reconciliation of income taxes computed using the statutory U.S. income tax rate and the provision (benefit) for income taxes for the three and six months ended June 30, 2025 and 2024 were as follows (amounts in thousands):</w:t>
      </w:r>
    </w:p>
    <w:p>
      <w:pPr>
        <w:spacing w:after="0" w:line="17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820" w:type="dxa"/>
            <w:vAlign w:val="bottom"/>
          </w:tcPr>
          <w:p>
            <w:pPr>
              <w:spacing w:after="0"/>
              <w:rPr>
                <w:sz w:val="13"/>
                <w:szCs w:val="13"/>
                <w:color w:val="auto"/>
              </w:rPr>
            </w:pPr>
          </w:p>
        </w:tc>
        <w:tc>
          <w:tcPr>
            <w:tcW w:w="1620" w:type="dxa"/>
            <w:vAlign w:val="bottom"/>
            <w:gridSpan w:val="7"/>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152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73"/>
        </w:trPr>
        <w:tc>
          <w:tcPr>
            <w:tcW w:w="68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5"/>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6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00" w:type="dxa"/>
            <w:vAlign w:val="bottom"/>
            <w:tcBorders>
              <w:bottom w:val="single" w:sz="8" w:color="CCEEFF"/>
            </w:tcBorders>
          </w:tcPr>
          <w:p>
            <w:pPr>
              <w:spacing w:after="0"/>
              <w:rPr>
                <w:sz w:val="15"/>
                <w:szCs w:val="15"/>
                <w:color w:val="auto"/>
              </w:rPr>
            </w:pPr>
          </w:p>
        </w:tc>
      </w:tr>
      <w:tr>
        <w:trPr>
          <w:trHeight w:val="209"/>
        </w:trPr>
        <w:tc>
          <w:tcPr>
            <w:tcW w:w="68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 computed at the federal statutory rate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right w:val="single" w:sz="8" w:color="CCEEFF"/>
            </w:tcBorders>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44</w:t>
            </w:r>
          </w:p>
        </w:tc>
        <w:tc>
          <w:tcPr>
            <w:tcW w:w="8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400" w:type="dxa"/>
            <w:vAlign w:val="bottom"/>
            <w:tcBorders>
              <w:left w:val="single" w:sz="8" w:color="CCEEFF"/>
              <w:right w:val="single" w:sz="8" w:color="CCEEFF"/>
            </w:tcBorders>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taxes, net of federal tax benefit</w:t>
            </w:r>
          </w:p>
        </w:tc>
        <w:tc>
          <w:tcPr>
            <w:tcW w:w="120" w:type="dxa"/>
            <w:vAlign w:val="bottom"/>
          </w:tcPr>
          <w:p>
            <w:pPr>
              <w:spacing w:after="0"/>
              <w:rPr>
                <w:sz w:val="18"/>
                <w:szCs w:val="18"/>
                <w:color w:val="auto"/>
              </w:rPr>
            </w:pPr>
          </w:p>
        </w:tc>
        <w:tc>
          <w:tcPr>
            <w:tcW w:w="7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(13)</w:t>
            </w:r>
          </w:p>
        </w:tc>
        <w:tc>
          <w:tcPr>
            <w:tcW w:w="8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(6.2)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(0.5)</w:t>
            </w:r>
          </w:p>
        </w:tc>
      </w:tr>
      <w:tr>
        <w:trPr>
          <w:trHeight w:val="216"/>
        </w:trPr>
        <w:tc>
          <w:tcPr>
            <w:tcW w:w="68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Excess tax expense (benefit) from stock options/restricted shares</w:t>
            </w:r>
          </w:p>
        </w:tc>
        <w:tc>
          <w:tcPr>
            <w:tcW w:w="12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14</w:t>
            </w:r>
          </w:p>
        </w:tc>
        <w:tc>
          <w:tcPr>
            <w:tcW w:w="8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6.7</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400" w:type="dxa"/>
            <w:vAlign w:val="bottom"/>
            <w:tcBorders>
              <w:left w:val="single" w:sz="8" w:color="CCEEFF"/>
              <w:right w:val="single" w:sz="8" w:color="CCEEFF"/>
            </w:tcBorders>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Worthless stock deduction</w:t>
            </w:r>
          </w:p>
        </w:tc>
        <w:tc>
          <w:tcPr>
            <w:tcW w:w="120" w:type="dxa"/>
            <w:vAlign w:val="bottom"/>
          </w:tcPr>
          <w:p>
            <w:pPr>
              <w:spacing w:after="0"/>
              <w:rPr>
                <w:sz w:val="18"/>
                <w:szCs w:val="18"/>
                <w:color w:val="auto"/>
              </w:rPr>
            </w:pPr>
          </w:p>
        </w:tc>
        <w:tc>
          <w:tcPr>
            <w:tcW w:w="70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8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Difference in income tax rate on foreign earnings/other</w:t>
            </w:r>
          </w:p>
        </w:tc>
        <w:tc>
          <w:tcPr>
            <w:tcW w:w="12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36</w:t>
            </w:r>
          </w:p>
        </w:tc>
        <w:tc>
          <w:tcPr>
            <w:tcW w:w="8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17.1</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400" w:type="dxa"/>
            <w:vAlign w:val="bottom"/>
            <w:tcBorders>
              <w:left w:val="single" w:sz="8" w:color="CCEEFF"/>
              <w:right w:val="single" w:sz="8" w:color="CCEEFF"/>
            </w:tcBorders>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20" w:type="dxa"/>
            <w:vAlign w:val="bottom"/>
          </w:tcPr>
          <w:p>
            <w:pPr>
              <w:spacing w:after="0"/>
              <w:rPr>
                <w:sz w:val="18"/>
                <w:szCs w:val="18"/>
                <w:color w:val="auto"/>
              </w:rPr>
            </w:pPr>
          </w:p>
        </w:tc>
        <w:tc>
          <w:tcPr>
            <w:tcW w:w="7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(6)</w:t>
            </w:r>
          </w:p>
        </w:tc>
        <w:tc>
          <w:tcPr>
            <w:tcW w:w="8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(93)</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(5.1)</w:t>
            </w:r>
          </w:p>
        </w:tc>
      </w:tr>
      <w:tr>
        <w:trPr>
          <w:trHeight w:val="27"/>
        </w:trPr>
        <w:tc>
          <w:tcPr>
            <w:tcW w:w="68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68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right w:val="single" w:sz="8" w:color="CCEEFF"/>
            </w:tcBorders>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75</w:t>
            </w:r>
          </w:p>
        </w:tc>
        <w:tc>
          <w:tcPr>
            <w:tcW w:w="8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400" w:type="dxa"/>
            <w:vAlign w:val="bottom"/>
            <w:tcBorders>
              <w:left w:val="single" w:sz="8" w:color="CCEEFF"/>
              <w:right w:val="single" w:sz="8" w:color="CCEEFF"/>
            </w:tcBorders>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23.1%</w:t>
            </w:r>
          </w:p>
        </w:tc>
      </w:tr>
      <w:tr>
        <w:trPr>
          <w:trHeight w:val="20"/>
        </w:trPr>
        <w:tc>
          <w:tcPr>
            <w:tcW w:w="68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61"/>
        </w:trPr>
        <w:tc>
          <w:tcPr>
            <w:tcW w:w="6820" w:type="dxa"/>
            <w:vAlign w:val="bottom"/>
          </w:tcPr>
          <w:p>
            <w:pPr>
              <w:spacing w:after="0"/>
              <w:rPr>
                <w:sz w:val="24"/>
                <w:szCs w:val="24"/>
                <w:color w:val="auto"/>
              </w:rPr>
            </w:pPr>
          </w:p>
        </w:tc>
        <w:tc>
          <w:tcPr>
            <w:tcW w:w="1620" w:type="dxa"/>
            <w:vAlign w:val="bottom"/>
            <w:gridSpan w:val="7"/>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4"/>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68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4"/>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360" w:type="dxa"/>
            <w:vAlign w:val="bottom"/>
            <w:tcBorders>
              <w:bottom w:val="single" w:sz="8" w:color="CCEEFF"/>
            </w:tcBorders>
            <w:gridSpan w:val="2"/>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00" w:type="dxa"/>
            <w:vAlign w:val="bottom"/>
            <w:tcBorders>
              <w:bottom w:val="single" w:sz="8" w:color="CCEEFF"/>
            </w:tcBorders>
          </w:tcPr>
          <w:p>
            <w:pPr>
              <w:spacing w:after="0"/>
              <w:rPr>
                <w:sz w:val="15"/>
                <w:szCs w:val="15"/>
                <w:color w:val="auto"/>
              </w:rPr>
            </w:pPr>
          </w:p>
        </w:tc>
      </w:tr>
      <w:tr>
        <w:trPr>
          <w:trHeight w:val="209"/>
        </w:trPr>
        <w:tc>
          <w:tcPr>
            <w:tcW w:w="68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 computed at the federal statutory rate</w:t>
            </w:r>
          </w:p>
        </w:tc>
        <w:tc>
          <w:tcPr>
            <w:tcW w:w="4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3"/>
              </w:rPr>
              <w:t>$ (326)</w:t>
            </w:r>
          </w:p>
        </w:tc>
        <w:tc>
          <w:tcPr>
            <w:tcW w:w="340" w:type="dxa"/>
            <w:vAlign w:val="bottom"/>
            <w:tcBorders>
              <w:right w:val="single" w:sz="8" w:color="CCEEFF"/>
            </w:tcBorders>
            <w:shd w:val="clear" w:color="auto" w:fill="CCEEFF"/>
          </w:tcPr>
          <w:p>
            <w:pPr>
              <w:spacing w:after="0"/>
              <w:rPr>
                <w:sz w:val="18"/>
                <w:szCs w:val="18"/>
                <w:color w:val="auto"/>
              </w:rPr>
            </w:pPr>
          </w:p>
        </w:tc>
        <w:tc>
          <w:tcPr>
            <w:tcW w:w="8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(21.0)%</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right w:val="single" w:sz="8" w:color="CCEEFF"/>
            </w:tcBorders>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321</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taxes, net of federal tax benefit</w:t>
            </w:r>
          </w:p>
        </w:tc>
        <w:tc>
          <w:tcPr>
            <w:tcW w:w="4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(115)</w:t>
            </w:r>
          </w:p>
        </w:tc>
        <w:tc>
          <w:tcPr>
            <w:tcW w:w="34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68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Excess tax expense (benefit) from stock options/restricted shares</w:t>
            </w: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340" w:type="dxa"/>
            <w:vAlign w:val="bottom"/>
            <w:tcBorders>
              <w:right w:val="single" w:sz="8" w:color="CCEEFF"/>
            </w:tcBorders>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(0.5)</w:t>
            </w:r>
          </w:p>
        </w:tc>
        <w:tc>
          <w:tcPr>
            <w:tcW w:w="2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131</w:t>
            </w: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Worthless stock deduction</w:t>
            </w:r>
          </w:p>
        </w:tc>
        <w:tc>
          <w:tcPr>
            <w:tcW w:w="120" w:type="dxa"/>
            <w:vAlign w:val="bottom"/>
          </w:tcPr>
          <w:p>
            <w:pPr>
              <w:spacing w:after="0"/>
              <w:rPr>
                <w:sz w:val="18"/>
                <w:szCs w:val="18"/>
                <w:color w:val="auto"/>
              </w:rPr>
            </w:pPr>
          </w:p>
        </w:tc>
        <w:tc>
          <w:tcPr>
            <w:tcW w:w="70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w w:val="81"/>
              </w:rPr>
              <w:t>— </w:t>
            </w:r>
          </w:p>
        </w:tc>
        <w:tc>
          <w:tcPr>
            <w:tcW w:w="80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(248)</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(16.2)</w:t>
            </w:r>
          </w:p>
        </w:tc>
      </w:tr>
      <w:tr>
        <w:trPr>
          <w:trHeight w:val="216"/>
        </w:trPr>
        <w:tc>
          <w:tcPr>
            <w:tcW w:w="68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Difference in income tax rate on foreign earnings/other</w:t>
            </w: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6"/>
              </w:rPr>
              <w:t>207</w:t>
            </w:r>
          </w:p>
        </w:tc>
        <w:tc>
          <w:tcPr>
            <w:tcW w:w="340" w:type="dxa"/>
            <w:vAlign w:val="bottom"/>
            <w:tcBorders>
              <w:right w:val="single" w:sz="8" w:color="CCEEFF"/>
            </w:tcBorders>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w:t>
            </w:r>
          </w:p>
        </w:tc>
        <w:tc>
          <w:tcPr>
            <w:tcW w:w="2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112</w:t>
            </w: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2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34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(0.4)</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r>
      <w:tr>
        <w:trPr>
          <w:trHeight w:val="27"/>
        </w:trPr>
        <w:tc>
          <w:tcPr>
            <w:tcW w:w="682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6820" w:type="dxa"/>
            <w:vAlign w:val="bottom"/>
            <w:tcBorders>
              <w:right w:val="single" w:sz="8" w:color="CCEEFF"/>
            </w:tcBorders>
            <w:shd w:val="clear" w:color="auto" w:fill="CCEEFF"/>
          </w:tcPr>
          <w:p>
            <w:pPr>
              <w:spacing w:after="0"/>
              <w:rPr>
                <w:sz w:val="18"/>
                <w:szCs w:val="18"/>
                <w:color w:val="auto"/>
              </w:rPr>
            </w:pPr>
          </w:p>
        </w:tc>
        <w:tc>
          <w:tcPr>
            <w:tcW w:w="4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3"/>
              </w:rPr>
              <w:t>$ (248)</w:t>
            </w:r>
          </w:p>
        </w:tc>
        <w:tc>
          <w:tcPr>
            <w:tcW w:w="340" w:type="dxa"/>
            <w:vAlign w:val="bottom"/>
            <w:tcBorders>
              <w:right w:val="single" w:sz="8" w:color="CCEEFF"/>
            </w:tcBorders>
            <w:shd w:val="clear" w:color="auto" w:fill="CCEEFF"/>
          </w:tcPr>
          <w:p>
            <w:pPr>
              <w:spacing w:after="0"/>
              <w:rPr>
                <w:sz w:val="18"/>
                <w:szCs w:val="18"/>
                <w:color w:val="auto"/>
              </w:rPr>
            </w:pPr>
          </w:p>
        </w:tc>
        <w:tc>
          <w:tcPr>
            <w:tcW w:w="8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(16.0)%</w:t>
            </w:r>
          </w:p>
        </w:tc>
        <w:tc>
          <w:tcPr>
            <w:tcW w:w="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right w:val="single" w:sz="8" w:color="CCEEFF"/>
            </w:tcBorders>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297</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19.4%</w:t>
            </w:r>
          </w:p>
        </w:tc>
      </w:tr>
      <w:tr>
        <w:trPr>
          <w:trHeight w:val="20"/>
        </w:trPr>
        <w:tc>
          <w:tcPr>
            <w:tcW w:w="6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evaluate deferred income taxes quarterly to determine if valuation allowances are required or should be adjusted. GAAP accounting guidance requires us to assess whether valuation allowances should be established against deferred tax assets based on all available evidence, both positive and negative using a “more likely than not” standard. Our assessment considers, among other things, the nature of cumulative losses; forecast of future profitability; the duration of statutory carry-forward periods and tax planning alternatives. At June 30, 2025, our valuation allowance was comprised of net operating losses in Ireland and the United Kingdom and totaled $446,000. During the quarter ended March 31, 2024, we secured a worthless stock deduction for our discontinued Singapore entity, which allowed us to recognize a current tax deduction during the 2024 period and accordingly reverse $162,000 of our valuation allowance balance. At December 31, 2024, our valuation allowance balance totaled $452,000.</w:t>
      </w:r>
    </w:p>
    <w:p>
      <w:pPr>
        <w:spacing w:after="0" w:line="333" w:lineRule="exact"/>
        <w:rPr>
          <w:sz w:val="20"/>
          <w:szCs w:val="20"/>
          <w:color w:val="auto"/>
        </w:rPr>
      </w:pPr>
    </w:p>
    <w:p>
      <w:pPr>
        <w:ind w:left="540" w:hanging="424"/>
        <w:spacing w:after="0"/>
        <w:tabs>
          <w:tab w:leader="none" w:pos="54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Shareholders’ Equity</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On February 8, 2023, the Company announced that the Board of Directors authorized a share repurchase program of up to 500,000 shares of the Company’s common stock over a two-year period. Repurchases under the program may occur from time to time in the open market, through privately negotiated transactions, through block purchases or other purchase techniques (including a Rule 10b5-1 program), or by any combination of such methods, and the program may be modified, suspended or terminated at any time at the discretion of the Board of Directors. On February 19, 2025, the Company announced that the Board of Directors had authorized an extension of its previously announced share repurchase program for an additional year through February 8, 2026.</w:t>
      </w:r>
    </w:p>
    <w:p>
      <w:pPr>
        <w:spacing w:after="0" w:line="187" w:lineRule="exact"/>
        <w:rPr>
          <w:sz w:val="20"/>
          <w:szCs w:val="20"/>
          <w:color w:val="auto"/>
        </w:rPr>
      </w:pPr>
    </w:p>
    <w:p>
      <w:pPr>
        <w:jc w:val="both"/>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During the three and six months ended June 30,2025, the Company repurchased 16,511 shares of common stock at an average price of $6.90 per share under this program. During the three months ended June 30, 2024, the Company did not purchase any shares under this program. During the six months ended June 30, 2024, the Company repurchased 9,222 shares of common stock at an average price of $8.70 per share under this program. Common shares available for share repurchase under this program totaled 407,000 shares on June 30, 2025.</w:t>
      </w:r>
    </w:p>
    <w:p>
      <w:pPr>
        <w:spacing w:after="0" w:line="180"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Additionally, the Company makes stock purchases from time to time to satisfy employee tax obligations related to its Stock Incentive Plan. The Company did not purchase any shares to satisfy employee tax obligations during the three and six months ended June 30, 2025 and 2024.</w:t>
      </w:r>
    </w:p>
    <w:p>
      <w:pPr>
        <w:spacing w:after="0" w:line="306" w:lineRule="exact"/>
        <w:rPr>
          <w:sz w:val="20"/>
          <w:szCs w:val="20"/>
          <w:color w:val="auto"/>
        </w:rPr>
      </w:pPr>
    </w:p>
    <w:p>
      <w:pPr>
        <w:ind w:left="540" w:hanging="424"/>
        <w:spacing w:after="0"/>
        <w:tabs>
          <w:tab w:leader="none" w:pos="54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(Loss) Per Share</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computation of basic earnings (loss) per share is based on the Company’s net income (loss) divided by the weighted average number of common shares outstanding. Diluted earnings (loss) per share reflect the potential dilution that could occur if outstanding stock options were exercised. The dilutive effect of stock options was calculated using the treasury stock method.</w:t>
      </w:r>
    </w:p>
    <w:p>
      <w:pPr>
        <w:spacing w:after="0" w:line="10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20"/>
          </w:cols>
          <w:pgMar w:left="320" w:top="482" w:right="5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For the three months ended June 30, 2025, there were 2,357,000 anti-dilutive stock options excluded from the computation of diluted earnings per share. For the six months ended June 30, 2025, all stock options and restricted shares were anti-dilutive and excluded from the computation of diluted (loss) per share. For the three and six months ended June 30, 2024, there were 1,568,000 and 1,126,000 anti-dilutive stock options excluded from the computation of diluted earnings per share, respectively.</w:t>
      </w:r>
    </w:p>
    <w:p>
      <w:pPr>
        <w:spacing w:after="0" w:line="324" w:lineRule="exact"/>
        <w:rPr>
          <w:sz w:val="20"/>
          <w:szCs w:val="20"/>
          <w:color w:val="auto"/>
        </w:rPr>
      </w:pPr>
    </w:p>
    <w:p>
      <w:pPr>
        <w:ind w:left="540" w:hanging="424"/>
        <w:spacing w:after="0"/>
        <w:tabs>
          <w:tab w:leader="none" w:pos="54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Segments and Geographic Information</w:t>
      </w:r>
    </w:p>
    <w:p>
      <w:pPr>
        <w:spacing w:after="0" w:line="121" w:lineRule="exact"/>
        <w:rPr>
          <w:rFonts w:ascii="Times New Roman" w:cs="Times New Roman" w:eastAsia="Times New Roman" w:hAnsi="Times New Roman"/>
          <w:sz w:val="18"/>
          <w:szCs w:val="18"/>
          <w:b w:val="1"/>
          <w:bCs w:val="1"/>
          <w:color w:val="auto"/>
        </w:rPr>
      </w:pPr>
    </w:p>
    <w:p>
      <w:pPr>
        <w:ind w:left="5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reporting segments are: 1) Data and Analytics Services; and 2) IT Staffing Services.</w:t>
      </w:r>
    </w:p>
    <w:p>
      <w:pPr>
        <w:spacing w:after="0" w:line="225"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Data and Analytics Services segment was acquired through the July 13, 2017, acquisition of the services division of Canada-based InfoTrellis, Inc. This segment is a project-based consulting services business with specialized capabilities in data management and analytics. The business is marketed as “Mastech InfoTrellis” and utilizes a dedicated sales team with deep subject matter expertise. Mastech InfoTrellis has offices in Toronto and London, and a global delivery center in Chennai, India. Project-based delivery reflects a combination of on-site resources and offshore resources. Assignments are secured on both a time and material and fixed price basis. In October 2020, we acquired AmberLeaf, a Chicago-based customer experience consulting firm. This acquisition expanded our capabilities in customer experience strategy and managed services offering for a variety of Cloud-based enterprise application across sales, marketing and customer service organizations.</w:t>
      </w:r>
    </w:p>
    <w:p>
      <w:pPr>
        <w:spacing w:after="0" w:line="189"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The IT Staffing Services segment offers staffing services in digital and mainstream technologies, engineering services and uses digital methods to enhance organizational learning. These services are marketed using a common sales force and delivered via our domestic and global recruitment centers. While the vast majority of our assignments are based on time and materials, we do have the capabilities to deliver our digital transformation services on a fixed price basis. Below are the operating results of our reporting segments.</w:t>
      </w:r>
    </w:p>
    <w:p>
      <w:pPr>
        <w:spacing w:after="0" w:line="188"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06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20" w:type="dxa"/>
            <w:vAlign w:val="bottom"/>
            <w:gridSpan w:val="5"/>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1740" w:type="dxa"/>
            <w:vAlign w:val="bottom"/>
            <w:gridSpan w:val="5"/>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406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00" w:type="dxa"/>
            <w:vAlign w:val="bottom"/>
            <w:tcBorders>
              <w:bottom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0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gridSpan w:val="5"/>
          </w:tcPr>
          <w:p>
            <w:pPr>
              <w:jc w:val="right"/>
              <w:ind w:right="540"/>
              <w:spacing w:after="0" w:line="142" w:lineRule="exact"/>
              <w:rPr>
                <w:sz w:val="20"/>
                <w:szCs w:val="20"/>
                <w:color w:val="auto"/>
              </w:rPr>
            </w:pPr>
            <w:r>
              <w:rPr>
                <w:rFonts w:ascii="Times New Roman" w:cs="Times New Roman" w:eastAsia="Times New Roman" w:hAnsi="Times New Roman"/>
                <w:sz w:val="14"/>
                <w:szCs w:val="14"/>
                <w:b w:val="1"/>
                <w:bCs w:val="1"/>
                <w:color w:val="auto"/>
              </w:rPr>
              <w:t>(Amounts in thousands)</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Data and Analytics Services</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8,589</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8,876</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w w:val="96"/>
              </w:rPr>
              <w:t>17,549</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6"/>
              </w:rPr>
              <w:t>16,943</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IT Staffing Services</w:t>
            </w:r>
          </w:p>
        </w:tc>
        <w:tc>
          <w:tcPr>
            <w:tcW w:w="2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w w:val="96"/>
              </w:rPr>
              <w:t>40,508</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w w:val="96"/>
              </w:rPr>
              <w:t>40,658</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w w:val="96"/>
              </w:rPr>
              <w:t>79,865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6"/>
              </w:rPr>
              <w:t>79,414</w:t>
            </w:r>
          </w:p>
        </w:tc>
        <w:tc>
          <w:tcPr>
            <w:tcW w:w="0" w:type="dxa"/>
            <w:vAlign w:val="bottom"/>
          </w:tcPr>
          <w:p>
            <w:pPr>
              <w:spacing w:after="0"/>
              <w:rPr>
                <w:sz w:val="1"/>
                <w:szCs w:val="1"/>
                <w:color w:val="auto"/>
              </w:rPr>
            </w:pPr>
          </w:p>
        </w:tc>
      </w:tr>
      <w:tr>
        <w:trPr>
          <w:trHeight w:val="223"/>
        </w:trPr>
        <w:tc>
          <w:tcPr>
            <w:tcW w:w="4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revenues</w:t>
            </w:r>
          </w:p>
        </w:tc>
        <w:tc>
          <w:tcPr>
            <w:tcW w:w="21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49,097</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49,534</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97,414</w:t>
            </w: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96,357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2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Data and Analytics Services</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4,706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4,507</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9,719</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8,829</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IT Staffing Services</w:t>
            </w:r>
          </w:p>
        </w:tc>
        <w:tc>
          <w:tcPr>
            <w:tcW w:w="2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w w:val="96"/>
              </w:rPr>
              <w:t>30,571</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w w:val="96"/>
              </w:rPr>
              <w:t>31,047</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w w:val="96"/>
              </w:rPr>
              <w:t>60,983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6"/>
              </w:rPr>
              <w:t>61,417</w:t>
            </w:r>
          </w:p>
        </w:tc>
        <w:tc>
          <w:tcPr>
            <w:tcW w:w="0" w:type="dxa"/>
            <w:vAlign w:val="bottom"/>
          </w:tcPr>
          <w:p>
            <w:pPr>
              <w:spacing w:after="0"/>
              <w:rPr>
                <w:sz w:val="1"/>
                <w:szCs w:val="1"/>
                <w:color w:val="auto"/>
              </w:rPr>
            </w:pPr>
          </w:p>
        </w:tc>
      </w:tr>
      <w:tr>
        <w:trPr>
          <w:trHeight w:val="223"/>
        </w:trPr>
        <w:tc>
          <w:tcPr>
            <w:tcW w:w="4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cost of revenues</w:t>
            </w:r>
          </w:p>
        </w:tc>
        <w:tc>
          <w:tcPr>
            <w:tcW w:w="21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35,277</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35,554</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70,702</w:t>
            </w: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70,246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Data and Analytics Services</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3,883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4,369</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7,830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8,114</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IT Staffing Services</w:t>
            </w:r>
          </w:p>
        </w:tc>
        <w:tc>
          <w:tcPr>
            <w:tcW w:w="2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9,937</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9,611</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w w:val="96"/>
              </w:rPr>
              <w:t>18,882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6"/>
              </w:rPr>
              <w:t>17,997</w:t>
            </w:r>
          </w:p>
        </w:tc>
        <w:tc>
          <w:tcPr>
            <w:tcW w:w="0" w:type="dxa"/>
            <w:vAlign w:val="bottom"/>
          </w:tcPr>
          <w:p>
            <w:pPr>
              <w:spacing w:after="0"/>
              <w:rPr>
                <w:sz w:val="1"/>
                <w:szCs w:val="1"/>
                <w:color w:val="auto"/>
              </w:rPr>
            </w:pPr>
          </w:p>
        </w:tc>
      </w:tr>
      <w:tr>
        <w:trPr>
          <w:trHeight w:val="223"/>
        </w:trPr>
        <w:tc>
          <w:tcPr>
            <w:tcW w:w="4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gross profit</w:t>
            </w:r>
          </w:p>
        </w:tc>
        <w:tc>
          <w:tcPr>
            <w:tcW w:w="21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13,820</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13,980</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26,712</w:t>
            </w: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26,111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 %:</w:t>
            </w:r>
          </w:p>
        </w:tc>
        <w:tc>
          <w:tcPr>
            <w:tcW w:w="2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Data and Analytics Services</w:t>
            </w:r>
          </w:p>
        </w:tc>
        <w:tc>
          <w:tcPr>
            <w:tcW w:w="2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49.2%</w:t>
            </w: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47.9%</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IT Staffing Services</w:t>
            </w:r>
          </w:p>
        </w:tc>
        <w:tc>
          <w:tcPr>
            <w:tcW w:w="2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20"/>
        </w:trPr>
        <w:tc>
          <w:tcPr>
            <w:tcW w:w="4060" w:type="dxa"/>
            <w:vAlign w:val="bottom"/>
            <w:vMerge w:val="restart"/>
          </w:tcPr>
          <w:p>
            <w:pPr>
              <w:ind w:left="720"/>
              <w:spacing w:after="0"/>
              <w:rPr>
                <w:sz w:val="20"/>
                <w:szCs w:val="20"/>
                <w:color w:val="auto"/>
              </w:rPr>
            </w:pPr>
            <w:r>
              <w:rPr>
                <w:rFonts w:ascii="Times New Roman" w:cs="Times New Roman" w:eastAsia="Times New Roman" w:hAnsi="Times New Roman"/>
                <w:sz w:val="18"/>
                <w:szCs w:val="18"/>
                <w:color w:val="auto"/>
              </w:rPr>
              <w:t>Total gross margin %</w:t>
            </w:r>
          </w:p>
        </w:tc>
        <w:tc>
          <w:tcPr>
            <w:tcW w:w="2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60" w:type="dxa"/>
            <w:vAlign w:val="bottom"/>
            <w:vMerge w:val="continue"/>
          </w:tcPr>
          <w:p>
            <w:pPr>
              <w:spacing w:after="0"/>
              <w:rPr>
                <w:sz w:val="19"/>
                <w:szCs w:val="19"/>
                <w:color w:val="auto"/>
              </w:rPr>
            </w:pPr>
          </w:p>
        </w:tc>
        <w:tc>
          <w:tcPr>
            <w:tcW w:w="2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tcPr>
          <w:p>
            <w:pPr>
              <w:spacing w:after="0"/>
              <w:rPr>
                <w:sz w:val="19"/>
                <w:szCs w:val="19"/>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Pr>
          <w:p>
            <w:pPr>
              <w:spacing w:after="0"/>
              <w:rPr>
                <w:sz w:val="19"/>
                <w:szCs w:val="19"/>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&amp; Marketing Expenses:</w:t>
            </w:r>
          </w:p>
        </w:tc>
        <w:tc>
          <w:tcPr>
            <w:tcW w:w="2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Data and Analytics Services</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1,785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1,862</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3,839</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4,279</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IT Staffing Services</w:t>
            </w:r>
          </w:p>
        </w:tc>
        <w:tc>
          <w:tcPr>
            <w:tcW w:w="2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2,439</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2,233</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4,686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4,397</w:t>
            </w:r>
          </w:p>
        </w:tc>
        <w:tc>
          <w:tcPr>
            <w:tcW w:w="0" w:type="dxa"/>
            <w:vAlign w:val="bottom"/>
          </w:tcPr>
          <w:p>
            <w:pPr>
              <w:spacing w:after="0"/>
              <w:rPr>
                <w:sz w:val="1"/>
                <w:szCs w:val="1"/>
                <w:color w:val="auto"/>
              </w:rPr>
            </w:pPr>
          </w:p>
        </w:tc>
      </w:tr>
      <w:tr>
        <w:trPr>
          <w:trHeight w:val="223"/>
        </w:trPr>
        <w:tc>
          <w:tcPr>
            <w:tcW w:w="4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sales &amp; marketing expenses</w:t>
            </w:r>
          </w:p>
        </w:tc>
        <w:tc>
          <w:tcPr>
            <w:tcW w:w="21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4,224</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4,095</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8,525</w:t>
            </w: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2120" w:type="dxa"/>
            <w:vAlign w:val="bottom"/>
            <w:vMerge w:val="restart"/>
          </w:tcPr>
          <w:p>
            <w:pPr>
              <w:jc w:val="right"/>
              <w:ind w:right="930"/>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060" w:type="dxa"/>
            <w:vAlign w:val="bottom"/>
          </w:tcPr>
          <w:p>
            <w:pPr>
              <w:spacing w:after="0"/>
              <w:rPr>
                <w:sz w:val="24"/>
                <w:szCs w:val="24"/>
                <w:color w:val="auto"/>
              </w:rPr>
            </w:pPr>
          </w:p>
        </w:tc>
        <w:tc>
          <w:tcPr>
            <w:tcW w:w="21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82"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880" w:type="dxa"/>
            <w:vAlign w:val="bottom"/>
          </w:tcPr>
          <w:p>
            <w:pPr>
              <w:spacing w:after="0"/>
              <w:rPr>
                <w:sz w:val="13"/>
                <w:szCs w:val="13"/>
                <w:color w:val="auto"/>
              </w:rPr>
            </w:pPr>
          </w:p>
        </w:tc>
        <w:tc>
          <w:tcPr>
            <w:tcW w:w="5920" w:type="dxa"/>
            <w:vAlign w:val="bottom"/>
          </w:tcPr>
          <w:p>
            <w:pPr>
              <w:spacing w:after="0"/>
              <w:rPr>
                <w:sz w:val="13"/>
                <w:szCs w:val="13"/>
                <w:color w:val="auto"/>
              </w:rPr>
            </w:pPr>
          </w:p>
        </w:tc>
        <w:tc>
          <w:tcPr>
            <w:tcW w:w="1560" w:type="dxa"/>
            <w:vAlign w:val="bottom"/>
            <w:gridSpan w:val="9"/>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gridSpan w:val="6"/>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59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gridSpan w:val="2"/>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gridSpan w:val="8"/>
          </w:tcPr>
          <w:p>
            <w:pPr>
              <w:jc w:val="right"/>
              <w:ind w:right="21"/>
              <w:spacing w:after="0" w:line="142" w:lineRule="exact"/>
              <w:rPr>
                <w:sz w:val="20"/>
                <w:szCs w:val="20"/>
                <w:color w:val="auto"/>
              </w:rPr>
            </w:pPr>
            <w:r>
              <w:rPr>
                <w:rFonts w:ascii="Times New Roman" w:cs="Times New Roman" w:eastAsia="Times New Roman" w:hAnsi="Times New Roman"/>
                <w:sz w:val="14"/>
                <w:szCs w:val="14"/>
                <w:b w:val="1"/>
                <w:bCs w:val="1"/>
                <w:color w:val="auto"/>
              </w:rPr>
              <w:t>(Amounts in thousands)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Operations Expenses: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Data and Analytics Services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3"/>
          </w:tcPr>
          <w:p>
            <w:pPr>
              <w:jc w:val="right"/>
              <w:ind w:right="48"/>
              <w:spacing w:after="0"/>
              <w:rPr>
                <w:sz w:val="20"/>
                <w:szCs w:val="20"/>
                <w:color w:val="auto"/>
              </w:rPr>
            </w:pPr>
            <w:r>
              <w:rPr>
                <w:rFonts w:ascii="Times New Roman" w:cs="Times New Roman" w:eastAsia="Times New Roman" w:hAnsi="Times New Roman"/>
                <w:sz w:val="18"/>
                <w:szCs w:val="18"/>
                <w:color w:val="auto"/>
              </w:rPr>
              <w:t>194</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176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346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343</w:t>
            </w:r>
          </w:p>
        </w:tc>
        <w:tc>
          <w:tcPr>
            <w:tcW w:w="0" w:type="dxa"/>
            <w:vAlign w:val="bottom"/>
          </w:tcPr>
          <w:p>
            <w:pPr>
              <w:spacing w:after="0"/>
              <w:rPr>
                <w:sz w:val="1"/>
                <w:szCs w:val="1"/>
                <w:color w:val="auto"/>
              </w:rPr>
            </w:pPr>
          </w:p>
        </w:tc>
      </w:tr>
      <w:tr>
        <w:trPr>
          <w:trHeight w:val="216"/>
        </w:trPr>
        <w:tc>
          <w:tcPr>
            <w:tcW w:w="68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IT Staffing Services</w:t>
            </w: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w w:val="98"/>
              </w:rPr>
              <w:t>1,831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2,143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tcBorders>
              <w:right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3,898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4,070</w:t>
            </w:r>
          </w:p>
        </w:tc>
        <w:tc>
          <w:tcPr>
            <w:tcW w:w="0" w:type="dxa"/>
            <w:vAlign w:val="bottom"/>
          </w:tcPr>
          <w:p>
            <w:pPr>
              <w:spacing w:after="0"/>
              <w:rPr>
                <w:sz w:val="1"/>
                <w:szCs w:val="1"/>
                <w:color w:val="auto"/>
              </w:rPr>
            </w:pPr>
          </w:p>
        </w:tc>
      </w:tr>
      <w:tr>
        <w:trPr>
          <w:trHeight w:val="223"/>
        </w:trPr>
        <w:tc>
          <w:tcPr>
            <w:tcW w:w="68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Total operations expenses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8"/>
              </w:rPr>
              <w:t>2,025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2,319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&amp; Administrative Expenses: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Data and Analytics Services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3"/>
          </w:tcPr>
          <w:p>
            <w:pPr>
              <w:jc w:val="right"/>
              <w:ind w:right="48"/>
              <w:spacing w:after="0"/>
              <w:rPr>
                <w:sz w:val="20"/>
                <w:szCs w:val="20"/>
                <w:color w:val="auto"/>
              </w:rPr>
            </w:pPr>
            <w:r>
              <w:rPr>
                <w:rFonts w:ascii="Times New Roman" w:cs="Times New Roman" w:eastAsia="Times New Roman" w:hAnsi="Times New Roman"/>
                <w:sz w:val="18"/>
                <w:szCs w:val="18"/>
                <w:color w:val="auto"/>
                <w:w w:val="98"/>
              </w:rPr>
              <w:t>2,058</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1,587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3,927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3,202</w:t>
            </w:r>
          </w:p>
        </w:tc>
        <w:tc>
          <w:tcPr>
            <w:tcW w:w="0" w:type="dxa"/>
            <w:vAlign w:val="bottom"/>
          </w:tcPr>
          <w:p>
            <w:pPr>
              <w:spacing w:after="0"/>
              <w:rPr>
                <w:sz w:val="1"/>
                <w:szCs w:val="1"/>
                <w:color w:val="auto"/>
              </w:rPr>
            </w:pPr>
          </w:p>
        </w:tc>
      </w:tr>
      <w:tr>
        <w:trPr>
          <w:trHeight w:val="216"/>
        </w:trPr>
        <w:tc>
          <w:tcPr>
            <w:tcW w:w="68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IT Staffing Services</w:t>
            </w: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w w:val="98"/>
              </w:rPr>
              <w:t>3,917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3,593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tcBorders>
              <w:right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8,214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7,147</w:t>
            </w:r>
          </w:p>
        </w:tc>
        <w:tc>
          <w:tcPr>
            <w:tcW w:w="0" w:type="dxa"/>
            <w:vAlign w:val="bottom"/>
          </w:tcPr>
          <w:p>
            <w:pPr>
              <w:spacing w:after="0"/>
              <w:rPr>
                <w:sz w:val="1"/>
                <w:szCs w:val="1"/>
                <w:color w:val="auto"/>
              </w:rPr>
            </w:pPr>
          </w:p>
        </w:tc>
      </w:tr>
      <w:tr>
        <w:trPr>
          <w:trHeight w:val="223"/>
        </w:trPr>
        <w:tc>
          <w:tcPr>
            <w:tcW w:w="68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Total general &amp; administrative expenses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8"/>
              </w:rPr>
              <w:t>5,975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5,180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12,141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10,349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operating income (loss):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Data and Analytics Services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744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290</w:t>
            </w:r>
          </w:p>
        </w:tc>
        <w:tc>
          <w:tcPr>
            <w:tcW w:w="0" w:type="dxa"/>
            <w:vAlign w:val="bottom"/>
          </w:tcPr>
          <w:p>
            <w:pPr>
              <w:spacing w:after="0"/>
              <w:rPr>
                <w:sz w:val="1"/>
                <w:szCs w:val="1"/>
                <w:color w:val="auto"/>
              </w:rPr>
            </w:pPr>
          </w:p>
        </w:tc>
      </w:tr>
      <w:tr>
        <w:trPr>
          <w:trHeight w:val="216"/>
        </w:trPr>
        <w:tc>
          <w:tcPr>
            <w:tcW w:w="68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IT Staffing Services</w:t>
            </w: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w w:val="98"/>
              </w:rPr>
              <w:t>1,750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1,642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tcBorders>
              <w:right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2,084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2,383</w:t>
            </w:r>
          </w:p>
        </w:tc>
        <w:tc>
          <w:tcPr>
            <w:tcW w:w="0" w:type="dxa"/>
            <w:vAlign w:val="bottom"/>
          </w:tcPr>
          <w:p>
            <w:pPr>
              <w:spacing w:after="0"/>
              <w:rPr>
                <w:sz w:val="1"/>
                <w:szCs w:val="1"/>
                <w:color w:val="auto"/>
              </w:rPr>
            </w:pPr>
          </w:p>
        </w:tc>
      </w:tr>
      <w:tr>
        <w:trPr>
          <w:trHeight w:val="223"/>
        </w:trPr>
        <w:tc>
          <w:tcPr>
            <w:tcW w:w="68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Subtotal</w:t>
            </w: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8"/>
              </w:rPr>
              <w:t>1,596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2,386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Unallocated Cost: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(693)</w:t>
            </w: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(1,299)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(1,386)</w:t>
            </w:r>
          </w:p>
        </w:tc>
        <w:tc>
          <w:tcPr>
            <w:tcW w:w="0" w:type="dxa"/>
            <w:vAlign w:val="bottom"/>
          </w:tcPr>
          <w:p>
            <w:pPr>
              <w:spacing w:after="0"/>
              <w:rPr>
                <w:sz w:val="1"/>
                <w:szCs w:val="1"/>
                <w:color w:val="auto"/>
              </w:rPr>
            </w:pPr>
          </w:p>
        </w:tc>
      </w:tr>
      <w:tr>
        <w:trPr>
          <w:trHeight w:val="216"/>
        </w:trPr>
        <w:tc>
          <w:tcPr>
            <w:tcW w:w="68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Finance and accounting transition expense</w:t>
            </w: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68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Severance expense</w:t>
            </w:r>
          </w:p>
        </w:tc>
        <w:tc>
          <w:tcPr>
            <w:tcW w:w="10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(1,641)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68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 (expense), FX, gains (losses) and other, net</w:t>
            </w: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183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tcBorders>
              <w:right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274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23"/>
        </w:trPr>
        <w:tc>
          <w:tcPr>
            <w:tcW w:w="68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1,809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6"/>
              </w:rPr>
              <w:t>$ (1,552</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Below is a reconciliation of segment total assets to consolidated total assets:</w:t>
            </w: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8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88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gridSpan w:val="6"/>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5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gridSpan w:val="3"/>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9"/>
          </w:tcPr>
          <w:p>
            <w:pPr>
              <w:jc w:val="right"/>
              <w:ind w:right="181"/>
              <w:spacing w:after="0" w:line="142" w:lineRule="exact"/>
              <w:rPr>
                <w:sz w:val="20"/>
                <w:szCs w:val="20"/>
                <w:color w:val="auto"/>
              </w:rPr>
            </w:pPr>
            <w:r>
              <w:rPr>
                <w:rFonts w:ascii="Times New Roman" w:cs="Times New Roman" w:eastAsia="Times New Roman" w:hAnsi="Times New Roman"/>
                <w:sz w:val="14"/>
                <w:szCs w:val="14"/>
                <w:b w:val="1"/>
                <w:bCs w:val="1"/>
                <w:color w:val="auto"/>
              </w:rPr>
              <w:t>(Amounts in thousands)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Data and Analytics Services</w:t>
            </w:r>
          </w:p>
        </w:tc>
        <w:tc>
          <w:tcPr>
            <w:tcW w:w="10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41,295</w:t>
            </w:r>
          </w:p>
        </w:tc>
        <w:tc>
          <w:tcPr>
            <w:tcW w:w="1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44,053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IT Staffing Services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69,097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67,431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59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Borders>
              <w:top w:val="single" w:sz="8" w:color="auto"/>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110,392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5"/>
              </w:rPr>
              <w:t>111,484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0" w:type="dxa"/>
            <w:vAlign w:val="bottom"/>
            <w:gridSpan w:val="2"/>
            <w:vMerge w:val="restart"/>
          </w:tcPr>
          <w:p>
            <w:pPr>
              <w:ind w:left="498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8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680"/>
          </w:cols>
          <w:pgMar w:left="320" w:top="482" w:right="8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Below is geographic information related to our revenues from external customers:</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680" w:type="dxa"/>
            <w:vAlign w:val="bottom"/>
          </w:tcPr>
          <w:p>
            <w:pPr>
              <w:spacing w:after="0"/>
              <w:rPr>
                <w:sz w:val="13"/>
                <w:szCs w:val="13"/>
                <w:color w:val="auto"/>
              </w:rPr>
            </w:pPr>
          </w:p>
        </w:tc>
        <w:tc>
          <w:tcPr>
            <w:tcW w:w="1860" w:type="dxa"/>
            <w:vAlign w:val="bottom"/>
            <w:gridSpan w:val="5"/>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580" w:type="dxa"/>
            <w:vAlign w:val="bottom"/>
            <w:gridSpan w:val="5"/>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6680" w:type="dxa"/>
            <w:vAlign w:val="bottom"/>
          </w:tcPr>
          <w:p>
            <w:pPr>
              <w:spacing w:after="0"/>
              <w:rPr>
                <w:sz w:val="15"/>
                <w:szCs w:val="15"/>
                <w:color w:val="auto"/>
              </w:rPr>
            </w:pPr>
          </w:p>
        </w:tc>
        <w:tc>
          <w:tcPr>
            <w:tcW w:w="1860" w:type="dxa"/>
            <w:vAlign w:val="bottom"/>
            <w:gridSpan w:val="5"/>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580" w:type="dxa"/>
            <w:vAlign w:val="bottom"/>
            <w:gridSpan w:val="5"/>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42"/>
        </w:trPr>
        <w:tc>
          <w:tcPr>
            <w:tcW w:w="668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7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gridSpan w:val="2"/>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gridSpan w:val="2"/>
          </w:tcPr>
          <w:p>
            <w:pPr>
              <w:jc w:val="right"/>
              <w:ind w:right="7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2"/>
                <w:szCs w:val="12"/>
                <w:color w:val="auto"/>
              </w:rPr>
            </w:pPr>
          </w:p>
        </w:tc>
      </w:tr>
      <w:tr>
        <w:trPr>
          <w:trHeight w:val="142"/>
        </w:trPr>
        <w:tc>
          <w:tcPr>
            <w:tcW w:w="6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80" w:type="dxa"/>
            <w:vAlign w:val="bottom"/>
            <w:gridSpan w:val="4"/>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(Amounts in thousands)</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9"/>
              </w:rPr>
              <w:t>$48,582</w:t>
            </w:r>
          </w:p>
        </w:tc>
        <w:tc>
          <w:tcPr>
            <w:tcW w:w="12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$48,515</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$96,334</w:t>
            </w:r>
          </w:p>
        </w:tc>
        <w:tc>
          <w:tcPr>
            <w:tcW w:w="8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$94,631</w:t>
            </w: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146</w:t>
            </w:r>
          </w:p>
        </w:tc>
        <w:tc>
          <w:tcPr>
            <w:tcW w:w="12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308</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276</w:t>
            </w:r>
          </w:p>
        </w:tc>
        <w:tc>
          <w:tcPr>
            <w:tcW w:w="8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602</w:t>
            </w:r>
          </w:p>
        </w:tc>
      </w:tr>
      <w:tr>
        <w:trPr>
          <w:trHeight w:val="216"/>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India and Other</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369</w:t>
            </w:r>
          </w:p>
        </w:tc>
        <w:tc>
          <w:tcPr>
            <w:tcW w:w="12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711</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804</w:t>
            </w:r>
          </w:p>
        </w:tc>
        <w:tc>
          <w:tcPr>
            <w:tcW w:w="8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1,124</w:t>
            </w:r>
          </w:p>
        </w:tc>
      </w:tr>
      <w:tr>
        <w:trPr>
          <w:trHeight w:val="223"/>
        </w:trPr>
        <w:tc>
          <w:tcPr>
            <w:tcW w:w="6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49,097</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49,534</w:t>
            </w:r>
          </w:p>
        </w:tc>
        <w:tc>
          <w:tcPr>
            <w:tcW w:w="34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97,414</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96,357</w:t>
            </w:r>
          </w:p>
        </w:tc>
        <w:tc>
          <w:tcPr>
            <w:tcW w:w="40" w:type="dxa"/>
            <w:vAlign w:val="bottom"/>
          </w:tcPr>
          <w:p>
            <w:pPr>
              <w:spacing w:after="0"/>
              <w:rPr>
                <w:sz w:val="19"/>
                <w:szCs w:val="19"/>
                <w:color w:val="auto"/>
              </w:rPr>
            </w:pPr>
          </w:p>
        </w:tc>
      </w:tr>
      <w:tr>
        <w:trPr>
          <w:trHeight w:val="20"/>
        </w:trPr>
        <w:tc>
          <w:tcPr>
            <w:tcW w:w="66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56" w:lineRule="exact"/>
        <w:rPr>
          <w:sz w:val="20"/>
          <w:szCs w:val="20"/>
          <w:color w:val="auto"/>
        </w:rPr>
      </w:pPr>
    </w:p>
    <w:p>
      <w:pPr>
        <w:ind w:left="540" w:hanging="424"/>
        <w:spacing w:after="0"/>
        <w:tabs>
          <w:tab w:leader="none" w:pos="5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Recently Issued Accounting Standards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not yet adopted</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ASU 2023-09, “Income Taxes (Topic 740): Improvements to Income Tax Disclosures”. The amendments in this ASU are intended to enhance the transparency and usefulness of income tax disclosures and provide for specific rate reconciliation categories; additional disclosure for reconciling items that meet a quantitative threshold; and disclosure of federal, state and foreign income taxes paid by individual jurisdiction. The amendments in this ASU are effective for annual periods beginning after December 15, 2024. Early adoption is permitted. The Company does not expect this ASU to have a material impact on its financial statements.</w:t>
      </w:r>
    </w:p>
    <w:p>
      <w:pPr>
        <w:spacing w:after="0" w:line="183" w:lineRule="exact"/>
        <w:rPr>
          <w:sz w:val="20"/>
          <w:szCs w:val="20"/>
          <w:color w:val="auto"/>
        </w:rPr>
      </w:pPr>
    </w:p>
    <w:p>
      <w:pPr>
        <w:ind w:left="120" w:right="20" w:firstLine="440"/>
        <w:spacing w:after="0" w:line="274" w:lineRule="auto"/>
        <w:rPr>
          <w:sz w:val="20"/>
          <w:szCs w:val="20"/>
          <w:color w:val="auto"/>
        </w:rPr>
      </w:pPr>
      <w:r>
        <w:rPr>
          <w:rFonts w:ascii="Times New Roman" w:cs="Times New Roman" w:eastAsia="Times New Roman" w:hAnsi="Times New Roman"/>
          <w:sz w:val="17"/>
          <w:szCs w:val="17"/>
          <w:color w:val="auto"/>
        </w:rPr>
        <w:t>In November 2024, the FASB issued ASU 2024-03, “Income Statement – Reporting Comprehensive Income – Expense Disaggregation Disclosures (Subtopic 220-40): Disaggregation of Income Statement Expenses”. The amendments in this ASU require more detailed disclosures about an entity’s business expenses. Additional interim and annual reporting disclosures in the notes to financial statements include the amounts of inventory purchases, employee compensation, depreciation, amortization of intangible assets and a qualitative description of amounts that are not separately disclosed. The amendments in this ASU are effective for annual periods beginning after December 15, 2026, and interim reporting periods beginning after December 15, 2027. Early adoption is permitted. The Company does not expect this ASU to have a material impact on its financial statements.</w:t>
      </w:r>
    </w:p>
    <w:p>
      <w:pPr>
        <w:spacing w:after="0" w:line="173"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A variety of proposed or otherwise potential accounting standards are currently under consideration by standard-setting organizations and certain regulatory agencies. Because of the tentative and preliminary nature of such proposed standards, management has not yet determined the effect, if any that the implementation of such proposed standards would have on the Company’s consolidated financial statements.</w:t>
      </w:r>
    </w:p>
    <w:p>
      <w:pPr>
        <w:spacing w:after="0" w:line="10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320" w:top="482" w:right="5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You should read the following discussion in conjunction with our audited consolidated financial statements and accompanying notes for the year ended December 31, 2024, included in our Annual Report on Form 10-K, filed with the Securities and Exchange Commission (“SEC”) on March 14, 2025.</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the Private Securities Litigation Reform Act of 1995, including statements about future events, future performance, plans, strategies, expectations, prospects, competitive environment and regulations. Forward-looking statements include all statements that are not historical facts and can be identified by the use of forward-looking terminology such as the words, “may”, “will”, “expect”, “anticipate”, “believe”, “estimate”, “plan”, “intend” or the negative of these terms or similar expressions in this quarterly report on Form 10-Q. We have based these forward-looking statements on our current views with respect to future events and financial performance. Our actual financial performance could differ materially from those projected in the forward-looking statements due to the inherent uncertainty of estimates, forecasts and projections and our financial performance may be better or worse than anticipated. Given these uncertainties, you should not put undue reliance on any forward-looking statements. All of the forward-looking statements are qualified in their entirety by reference to the factors discussed under “Risk Factors”, “Forward-Looking Statements” and elsewhere in our Annual Report on Form 10-K for the year ended December 31, 2024. Forward-looking statements represent our estimates and assumptions only as of the date that they were made. We do not undertake any duty to update forward-looking statements and the estimates and assumptions associated with them, after the date of this quarterly report on Form 10-Q, except to the extent required by applicable securities laws.</w:t>
      </w:r>
    </w:p>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00"/>
          </w:cols>
          <w:pgMar w:left="320" w:top="482" w:right="4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Website Access to SEC Reports:</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Company’s website is www.mastechdigital.com. The Company’s Annual Report on Form 10-K for the year ended December 31, 2024, current reports on Form 8-K and all other reports filed with the SEC, are available free of charge on the Investors page. The website is updated as soon as reasonably practical after such reports are filed electronically with the SEC.</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Please refer to Note 1 “Summary of Significant Accounting Policies” of the Consolidated Financial Statements and “Management’s Discussion and Analysis of Financial Condition and Results of Operations–Critical Accounting Policies and Estimates” in our Annual Report on Form 10-K for the year ended December 31, 2024 for a more detailed discussion of our significant accounting policies and critical accounting estimates. There were no material changes to these critical accounting policies during the six months ended June 30, 2025.</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2024 Primentor, Inc. Consulting Agreement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January 12, 2024, we entered into a consulting services agreement with Primentor, Inc. (“Primentor”) to provide the Company with strategic</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advisory and management consulting services, as well as any other business and organizational strategy services as the Board of Directors of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Company may reasonably request from time to time. The initial term of the consulting services agreement is for a three-year period that commenced 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January 12, 2024, and the Company may request to renew the term for additional successive one-year terms, in which case Primentor and the Company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will negotiate to agree upon the scope of the additional services and the amount of additional consulting fees. During 2024, the Company incurred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consulting expenses of approximately $1.1 million related to these services. In 2025 and 2026, the Company expects to pay Primentor approximately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$270,000 and $120,000, respectively, plus reimbursement of any reasonable and documented out-of-pocket expenses incurred by Primentor in rendering</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such services.</w:t>
      </w:r>
    </w:p>
    <w:p>
      <w:pPr>
        <w:spacing w:after="0" w:line="3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Transition of the Company’s finance and accounting functions to India:</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During the first quarter of 2025, the Company’s Board of Directors made the decision to implement a long-term cost-cutting initiative to transition the Company’s finance and accounting functions to India. During 2025, the Company expects to incur additional costs related to the duplication of resources and travel expenses during the training and knowledge transfer process. As of June 30, 2025, the Company has incurred approximately $200,000 of additional costs and estimates total expenses to range from $500,000 to $750,000 for the transition period.</w:t>
      </w:r>
    </w:p>
    <w:p>
      <w:pPr>
        <w:spacing w:after="0" w:line="180"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Additionally, the Company expects to pay approximately $1.3 million of severance expense related to this initiative. As of June 30, 2025, the Company has incurred approximately $500,000 in severance. Post-transition cost savings are expected to approximate $1.2 million per annum.</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are a provider of Digital Transformation IT Services to mostly large and medium-sized organizations.</w:t>
      </w:r>
    </w:p>
    <w:p>
      <w:pPr>
        <w:spacing w:after="0" w:line="225"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Our portfolio of offerings includes data management and analytics services, other digital transformation services, such as digital learning services, and IT Staffing Services.</w:t>
      </w:r>
    </w:p>
    <w:p>
      <w:pPr>
        <w:spacing w:after="0" w:line="162"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We operate in two reporting segments – Data and Analytics Services and IT Staffing Services. Our data and analytics services are marketed on a global basis under the brand “Mastech InfoTrellis” and are delivered largely on a project basis with on-site and off-shore resources. These data and analytics capabilities and expertise were acquired through our acquisition of InfoTrellis and enhanced and expanded subsequent to the acquisition. In October 2020, we acquired AmberLeaf Partners, Inc. (“AmberLeaf”), a Chicago-based customer experience consulting firm. This acquisition enhanced our capabilities in customer experience strategy and managed services offerings for a variety of Cloud-based enterprise applications across sales, marketing and customer services organizations. Our IT staffing business combines technical expertise with business process experience to deliver a broad range of staffing services in digital and mainstream technologies, as well as other digital transformation services.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00"/>
          </w:cols>
          <w:pgMar w:left="320" w:top="482" w:right="4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60" w:firstLine="440"/>
        <w:spacing w:after="0" w:line="258" w:lineRule="auto"/>
        <w:rPr>
          <w:sz w:val="20"/>
          <w:szCs w:val="20"/>
          <w:color w:val="auto"/>
        </w:rPr>
      </w:pPr>
      <w:r>
        <w:rPr>
          <w:rFonts w:ascii="Times New Roman" w:cs="Times New Roman" w:eastAsia="Times New Roman" w:hAnsi="Times New Roman"/>
          <w:sz w:val="18"/>
          <w:szCs w:val="18"/>
          <w:color w:val="auto"/>
        </w:rPr>
        <w:t>Both business segments provide their services across various industry verticals, including financial services, government, healthcare, manufacturing, retail, technology telecommunications and transportation. In our Data and Analytics Services segment, we evaluate our revenues and gross profits largely by service line. In our IT Staffing Services segment, we evaluate our revenues and gross profits largely by sales channel responsibility. This analysis within both our reporting segments is multi-purposed and includes technologies employed, client relationships, and geographic locations.</w:t>
      </w:r>
    </w:p>
    <w:p>
      <w:pPr>
        <w:spacing w:after="0" w:line="2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Data and Analytics:</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provide information regarding our new bookings in our Data and Analytics Services segment, which represents the estimated value of client engagements, including those acquired through acquisitions, as well as renewals and extensions to existing contracts, because we believe doing so provides useful trend information regarding changes in the volume of our new business over time. New bookings can vary significantly quarter to quarter, depending, in part, on the timing of the signing of a small number of large engagements. Among other factors, the types of services and solutions to be delivered, the duration of the engagement and the pace and level of client spending impact the timing of the conversion of new bookings to revenues. In addition, substantially all of our contracts are terminable by the client on short notice, with little or no termination penalties. Information regarding our new bookings is not comparable to, nor should it be substituted for, an analysis of our revenues over time. New bookings involve estimates and judgments. There are no third-party standards or requirements governing the calculation of bookings. We do not update our new bookings for material subsequent terminations or reductions related to bookings originally provided in prior periods.</w:t>
      </w:r>
    </w:p>
    <w:p>
      <w:pPr>
        <w:spacing w:after="0" w:line="2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Economic Trends and Outlook:</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Generally, our business outlook is highly correlated to general North American economic conditions, particularly with respect to our IT Staffing Services segment. During periods of increasing employment and economic expansion, demand for our services tends to increase. Conversely, during periods of contracting employment and / or a slowing global economy, demand for our services tends to decline. With economic expansion in 2010 through 2019 activity levels improved. However, as economic conditions strengthened, we experienced increased tightness in the supply side (skilled IT professionals) of our businesses. These supply-side challenges pressured resource costs and, to some extent, gross margins. As we entered 2020, we were encouraged by continued growth in the domestic job markets and expanding U.S. and global economies. However, with the COVID-19 pandemic surfacing in the first quarter of 2020, we realized that economic growth would quickly turn into recessionary conditions, which had a material impact on activity levels in both of our business segments. In 2021, we were encouraged by the global rollout of vaccination programs and signs of economic improvement, however, the proliferation of COVID-19 variants had caused some uncertainty and disruption in the global markets. In 2022 and 2023, COVID-19-related concerns seemed to subside; however, increased inflation, challenges in the financial sector related to increasing interest rates, and concerns about a possible recession created much uncertainty and impacted demand for our services in the second half of 2022 and for the entire year of 2023. In 2024, economic conditions in North American improved over the course of the year as job growth and inflationary outlooks showed positive signs of improvement. However, as we move into the second half of 2025, uncertainty and caution continues to persist in the marketplace, driven in part by lingering questions around the direction and implementation of immigration, trade and other policies under the new administration (including the implementation of tariffs and other trade measures). These evolving dynamics have contributed to extended decision-making cycles and conservative spending behavior among clients. Given these and other factors, it remains difficult to reliably forecast how market conditions will develop for the remainder of 2025 or during 2026 and beyond.</w:t>
      </w:r>
    </w:p>
    <w:p>
      <w:pPr>
        <w:spacing w:after="0" w:line="193"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In addition to tracking general economic conditions in the markets that we service, a large portion of our revenues is generated from a limited number of clients (see Item 1A, the Risk Factor entitled “Our revenues are highly concentrated, and the loss of a significant client would adversely affect our business and revenues” in our Annual Report on Form 10-K for the year ended December 31, 2024). Accordingly, our trends and outlook are additionally impacted by the prospects and well-being of these specific clients. This “account concentration” factor may result in our results of operations deviating from the prevailing economic trends from time to time.</w:t>
      </w:r>
    </w:p>
    <w:p>
      <w:pPr>
        <w:spacing w:after="0" w:line="183" w:lineRule="exact"/>
        <w:rPr>
          <w:sz w:val="20"/>
          <w:szCs w:val="20"/>
          <w:color w:val="auto"/>
        </w:rPr>
      </w:pPr>
    </w:p>
    <w:p>
      <w:pPr>
        <w:ind w:left="120" w:right="460" w:firstLine="440"/>
        <w:spacing w:after="0" w:line="266" w:lineRule="auto"/>
        <w:rPr>
          <w:sz w:val="20"/>
          <w:szCs w:val="20"/>
          <w:color w:val="auto"/>
        </w:rPr>
      </w:pPr>
      <w:r>
        <w:rPr>
          <w:rFonts w:ascii="Times New Roman" w:cs="Times New Roman" w:eastAsia="Times New Roman" w:hAnsi="Times New Roman"/>
          <w:sz w:val="18"/>
          <w:szCs w:val="18"/>
          <w:color w:val="auto"/>
        </w:rPr>
        <w:t>Within our IT Staffing Services segment, a larger portion of our revenues has come from strategic relationships with systems integrators. Additionally, many large end users of IT staffing services are employing MSP’s to manage their contractor spending. Both of these dynamics may pressure our IT staffing gross margins in the future.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 for the Three Months Ended June 30, 2025 as Compared to the Three Months Ended June 30, 2024:</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Revenues for the three months ended June 30, 2025 totaled $49.1 million, compared to $49.5 million for the corresponding three-month period in</w:t>
      </w:r>
    </w:p>
    <w:p>
      <w:pPr>
        <w:spacing w:after="0" w:line="27" w:lineRule="exact"/>
        <w:rPr>
          <w:sz w:val="20"/>
          <w:szCs w:val="20"/>
          <w:color w:val="auto"/>
        </w:rPr>
      </w:pPr>
    </w:p>
    <w:p>
      <w:pPr>
        <w:jc w:val="both"/>
        <w:ind w:left="120" w:right="100"/>
        <w:spacing w:after="0" w:line="253" w:lineRule="auto"/>
        <w:rPr>
          <w:sz w:val="20"/>
          <w:szCs w:val="20"/>
          <w:color w:val="auto"/>
        </w:rPr>
      </w:pPr>
      <w:r>
        <w:rPr>
          <w:rFonts w:ascii="Times New Roman" w:cs="Times New Roman" w:eastAsia="Times New Roman" w:hAnsi="Times New Roman"/>
          <w:sz w:val="18"/>
          <w:szCs w:val="18"/>
          <w:color w:val="auto"/>
        </w:rPr>
        <w:t>2024. This 1% year-over-year revenue decrease reflected a modest revenue decrease in our IT Staffing Services segment and a 3% decline in our Data and Analytics Services segment. For the three months ended June 30, 2025, the Company had three clients that each had revenues in excess of 10% of total revenues (Fidelity 15.0%, Populus = 12.4% and CGI = 11.0%). For the three months ended June 30, 2024, the Company had two clients that each had revenues in excess of 10% of total revenues (CGI = 14.9% and Populus = 10.7%). The Company’s top ten clients represented approximately 58% and 53% of total revenues for the three months ended June 30, 2025 and 2024, respectively.</w:t>
      </w:r>
    </w:p>
    <w:p>
      <w:pPr>
        <w:sectPr>
          <w:pgSz w:w="11900" w:h="16838" w:orient="portrait"/>
          <w:cols w:equalWidth="0" w:num="1">
            <w:col w:w="11080"/>
          </w:cols>
          <w:pgMar w:left="320" w:top="482" w:right="499" w:bottom="1440" w:gutter="0" w:footer="0" w:header="0"/>
        </w:sectPr>
      </w:pPr>
    </w:p>
    <w:p>
      <w:pPr>
        <w:spacing w:after="0" w:line="11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80"/>
          </w:cols>
          <w:pgMar w:left="320" w:top="482" w:right="49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Below is a tabular presentation of revenues by reportable segment for the three months ended June 30, 2025 and 2024, respectively:</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9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Revenues (Amounts in millions)</w:t>
            </w:r>
          </w:p>
        </w:tc>
        <w:tc>
          <w:tcPr>
            <w:tcW w:w="1440" w:type="dxa"/>
            <w:vAlign w:val="bottom"/>
            <w:vMerge w:val="restart"/>
          </w:tcPr>
          <w:p>
            <w:pPr>
              <w:spacing w:after="0"/>
              <w:rPr>
                <w:sz w:val="13"/>
                <w:szCs w:val="13"/>
                <w:color w:val="auto"/>
              </w:rPr>
            </w:pPr>
          </w:p>
        </w:tc>
        <w:tc>
          <w:tcPr>
            <w:tcW w:w="1360" w:type="dxa"/>
            <w:vAlign w:val="bottom"/>
          </w:tcPr>
          <w:p>
            <w:pPr>
              <w:spacing w:after="0"/>
              <w:rPr>
                <w:sz w:val="13"/>
                <w:szCs w:val="13"/>
                <w:color w:val="auto"/>
              </w:rPr>
            </w:pPr>
          </w:p>
        </w:tc>
        <w:tc>
          <w:tcPr>
            <w:tcW w:w="17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Pr>
          <w:p>
            <w:pPr>
              <w:spacing w:after="0"/>
              <w:rPr>
                <w:sz w:val="13"/>
                <w:szCs w:val="13"/>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80"/>
        </w:trPr>
        <w:tc>
          <w:tcPr>
            <w:tcW w:w="1960" w:type="dxa"/>
            <w:vAlign w:val="bottom"/>
            <w:tcBorders>
              <w:bottom w:val="single" w:sz="8" w:color="auto"/>
            </w:tcBorders>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1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gridSpan w:val="2"/>
          </w:tcPr>
          <w:p>
            <w:pPr>
              <w:ind w:left="80"/>
              <w:spacing w:after="0" w:line="160" w:lineRule="exact"/>
              <w:rPr>
                <w:sz w:val="20"/>
                <w:szCs w:val="20"/>
                <w:color w:val="auto"/>
              </w:rPr>
            </w:pPr>
            <w:r>
              <w:rPr>
                <w:rFonts w:ascii="Times New Roman" w:cs="Times New Roman" w:eastAsia="Times New Roman" w:hAnsi="Times New Roman"/>
                <w:sz w:val="14"/>
                <w:szCs w:val="14"/>
                <w:b w:val="1"/>
                <w:bCs w:val="1"/>
                <w:color w:val="auto"/>
              </w:rPr>
              <w:t>June 30, 2025</w:t>
            </w: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ind w:left="80"/>
              <w:spacing w:after="0" w:line="160" w:lineRule="exact"/>
              <w:rPr>
                <w:sz w:val="20"/>
                <w:szCs w:val="20"/>
                <w:color w:val="auto"/>
              </w:rPr>
            </w:pPr>
            <w:r>
              <w:rPr>
                <w:rFonts w:ascii="Times New Roman" w:cs="Times New Roman" w:eastAsia="Times New Roman" w:hAnsi="Times New Roman"/>
                <w:sz w:val="14"/>
                <w:szCs w:val="14"/>
                <w:b w:val="1"/>
                <w:bCs w:val="1"/>
                <w:color w:val="auto"/>
              </w:rPr>
              <w:t>June 30, 2024</w:t>
            </w:r>
          </w:p>
        </w:tc>
        <w:tc>
          <w:tcPr>
            <w:tcW w:w="0" w:type="dxa"/>
            <w:vAlign w:val="bottom"/>
          </w:tcPr>
          <w:p>
            <w:pPr>
              <w:spacing w:after="0"/>
              <w:rPr>
                <w:sz w:val="1"/>
                <w:szCs w:val="1"/>
                <w:color w:val="auto"/>
              </w:rPr>
            </w:pPr>
          </w:p>
        </w:tc>
      </w:tr>
      <w:tr>
        <w:trPr>
          <w:trHeight w:val="203"/>
        </w:trPr>
        <w:tc>
          <w:tcPr>
            <w:tcW w:w="34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Data and Analytics Services</w:t>
            </w:r>
          </w:p>
        </w:tc>
        <w:tc>
          <w:tcPr>
            <w:tcW w:w="13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8.6</w:t>
            </w:r>
          </w:p>
        </w:tc>
        <w:tc>
          <w:tcPr>
            <w:tcW w:w="4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8.9</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 Staffing Services</w:t>
            </w:r>
          </w:p>
        </w:tc>
        <w:tc>
          <w:tcPr>
            <w:tcW w:w="13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1520" w:type="dxa"/>
            <w:vAlign w:val="bottom"/>
            <w:gridSpan w:val="2"/>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49.1</w:t>
            </w:r>
          </w:p>
        </w:tc>
        <w:tc>
          <w:tcPr>
            <w:tcW w:w="6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49.5</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Revenues from our Data and Analytics Services segment totaled $8.6 million in the second quarter ended June 30, 2025, which is slightly lower compared to $8.9 million in the corresponding period last year. While activity levels remained relatively flat to slightly down, we continue to see strong engagement from existing clients. New bookings in the second quarter of 2025 totaled approximately $5.8 million, compared to bookings of $9.2 million in the second quarter of 2024</w:t>
      </w:r>
    </w:p>
    <w:p>
      <w:pPr>
        <w:spacing w:after="0" w:line="180"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Revenues from our IT Staffing Services segment totaled $40.5 million in the three months ended June 30, 2025, compared to $40.6 million during the corresponding 2024 period. Revenue was essentially flat year-over-year as lower demand for our services in 2025 was largely offset by higher bill rates. Billable consultants at June 30, 2025 totaled 980-consultants compared to 1,035-consultants one year earlier. During the first half of 2025, our billable consultant-base reduced by 26-consultants. Our average bill rate during the second quarter of 2025 was $85.32 per hour compared to $81.94 per hour in the corresponding 2024 quarter. The increase in average bill rate was due to higher quality of revenues in the new assignments during the first half of 2025 and was reflective of the types of skill sets that we deployed. Permanent placement / fee revenues were approximately $0.3 million during the 2025 second quarter, which were up $0.1 million from the corresponding 2024 quarter.</w:t>
      </w:r>
    </w:p>
    <w:p>
      <w:pPr>
        <w:spacing w:after="0" w:line="29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Gross Margins: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Gross profits in the second quarter of 2025 totaled $13.8 million, which was $0.2 million lower than the second quarter of 2024 gross profits.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Gross profit as a percentage of revenue was 28.1% for the three-month period ended June 30, 2025, compared to 28.2% during the same period of 2024.</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This 10-basis point reduction in gross margins reflected higher margins in our IT Staffing Services business segments, offset by lower margins from our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Data and Analytics Services segment during the current quarter.</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Below is a tabular presentation of gross margin by reporting segment for the three months ended June 30, 2025 and 2024, respectively:</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8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Gross Margin</w:t>
            </w:r>
          </w:p>
        </w:tc>
        <w:tc>
          <w:tcPr>
            <w:tcW w:w="3620" w:type="dxa"/>
            <w:vAlign w:val="bottom"/>
            <w:vMerge w:val="restart"/>
          </w:tcPr>
          <w:p>
            <w:pPr>
              <w:spacing w:after="0"/>
              <w:rPr>
                <w:sz w:val="13"/>
                <w:szCs w:val="13"/>
                <w:color w:val="auto"/>
              </w:rPr>
            </w:pPr>
          </w:p>
        </w:tc>
        <w:tc>
          <w:tcPr>
            <w:tcW w:w="2380" w:type="dxa"/>
            <w:vAlign w:val="bottom"/>
            <w:gridSpan w:val="2"/>
          </w:tcPr>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5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65"/>
        </w:trPr>
        <w:tc>
          <w:tcPr>
            <w:tcW w:w="860" w:type="dxa"/>
            <w:vAlign w:val="bottom"/>
            <w:tcBorders>
              <w:bottom w:val="single" w:sz="8" w:color="auto"/>
            </w:tcBorders>
            <w:vMerge w:val="continue"/>
          </w:tcPr>
          <w:p>
            <w:pPr>
              <w:spacing w:after="0"/>
              <w:rPr>
                <w:sz w:val="13"/>
                <w:szCs w:val="13"/>
                <w:color w:val="auto"/>
              </w:rPr>
            </w:pPr>
          </w:p>
        </w:tc>
        <w:tc>
          <w:tcPr>
            <w:tcW w:w="3620" w:type="dxa"/>
            <w:vAlign w:val="bottom"/>
            <w:vMerge w:val="continue"/>
          </w:tcPr>
          <w:p>
            <w:pPr>
              <w:spacing w:after="0"/>
              <w:rPr>
                <w:sz w:val="13"/>
                <w:szCs w:val="13"/>
                <w:color w:val="auto"/>
              </w:rPr>
            </w:pPr>
          </w:p>
        </w:tc>
        <w:tc>
          <w:tcPr>
            <w:tcW w:w="2380" w:type="dxa"/>
            <w:vAlign w:val="bottom"/>
            <w:gridSpan w:val="2"/>
          </w:tcPr>
          <w:p>
            <w:pPr>
              <w:jc w:val="center"/>
              <w:ind w:right="1060"/>
              <w:spacing w:after="0" w:line="160" w:lineRule="exact"/>
              <w:rPr>
                <w:sz w:val="20"/>
                <w:szCs w:val="20"/>
                <w:color w:val="auto"/>
              </w:rPr>
            </w:pPr>
            <w:r>
              <w:rPr>
                <w:rFonts w:ascii="Times New Roman" w:cs="Times New Roman" w:eastAsia="Times New Roman" w:hAnsi="Times New Roman"/>
                <w:sz w:val="14"/>
                <w:szCs w:val="14"/>
                <w:b w:val="1"/>
                <w:bCs w:val="1"/>
                <w:color w:val="auto"/>
              </w:rPr>
              <w:t>June 30, 2025</w:t>
            </w:r>
          </w:p>
        </w:tc>
        <w:tc>
          <w:tcPr>
            <w:tcW w:w="150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June 30, 2024</w:t>
            </w:r>
          </w:p>
        </w:tc>
        <w:tc>
          <w:tcPr>
            <w:tcW w:w="0" w:type="dxa"/>
            <w:vAlign w:val="bottom"/>
          </w:tcPr>
          <w:p>
            <w:pPr>
              <w:spacing w:after="0"/>
              <w:rPr>
                <w:sz w:val="1"/>
                <w:szCs w:val="1"/>
                <w:color w:val="auto"/>
              </w:rPr>
            </w:pPr>
          </w:p>
        </w:tc>
      </w:tr>
      <w:tr>
        <w:trPr>
          <w:trHeight w:val="20"/>
        </w:trPr>
        <w:tc>
          <w:tcPr>
            <w:tcW w:w="44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Data and Analytics Services</w:t>
            </w:r>
          </w:p>
        </w:tc>
        <w:tc>
          <w:tcPr>
            <w:tcW w:w="1320" w:type="dxa"/>
            <w:vAlign w:val="bottom"/>
            <w:shd w:val="clear" w:color="auto" w:fill="000000"/>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80" w:type="dxa"/>
            <w:vAlign w:val="bottom"/>
            <w:gridSpan w:val="2"/>
            <w:vMerge w:val="continue"/>
            <w:shd w:val="clear" w:color="auto" w:fill="CCEEFF"/>
          </w:tcPr>
          <w:p>
            <w:pPr>
              <w:spacing w:after="0"/>
              <w:rPr>
                <w:sz w:val="17"/>
                <w:szCs w:val="17"/>
                <w:color w:val="auto"/>
              </w:rPr>
            </w:pPr>
          </w:p>
        </w:tc>
        <w:tc>
          <w:tcPr>
            <w:tcW w:w="2380" w:type="dxa"/>
            <w:vAlign w:val="bottom"/>
            <w:gridSpan w:val="2"/>
            <w:shd w:val="clear" w:color="auto" w:fill="CCEEFF"/>
          </w:tcPr>
          <w:p>
            <w:pPr>
              <w:ind w:left="1000"/>
              <w:spacing w:after="0" w:line="203" w:lineRule="exact"/>
              <w:rPr>
                <w:sz w:val="20"/>
                <w:szCs w:val="20"/>
                <w:color w:val="auto"/>
              </w:rPr>
            </w:pPr>
            <w:r>
              <w:rPr>
                <w:rFonts w:ascii="Times New Roman" w:cs="Times New Roman" w:eastAsia="Times New Roman" w:hAnsi="Times New Roman"/>
                <w:sz w:val="18"/>
                <w:szCs w:val="18"/>
                <w:color w:val="auto"/>
              </w:rPr>
              <w:t>45.2%</w:t>
            </w:r>
          </w:p>
        </w:tc>
        <w:tc>
          <w:tcPr>
            <w:tcW w:w="1500" w:type="dxa"/>
            <w:vAlign w:val="bottom"/>
            <w:gridSpan w:val="2"/>
            <w:shd w:val="clear" w:color="auto" w:fill="CCEEFF"/>
          </w:tcPr>
          <w:p>
            <w:pPr>
              <w:ind w:left="1000"/>
              <w:spacing w:after="0" w:line="203" w:lineRule="exact"/>
              <w:rPr>
                <w:sz w:val="20"/>
                <w:szCs w:val="20"/>
                <w:color w:val="auto"/>
              </w:rPr>
            </w:pPr>
            <w:r>
              <w:rPr>
                <w:rFonts w:ascii="Times New Roman" w:cs="Times New Roman" w:eastAsia="Times New Roman" w:hAnsi="Times New Roman"/>
                <w:sz w:val="18"/>
                <w:szCs w:val="18"/>
                <w:color w:val="auto"/>
              </w:rPr>
              <w:t>49.2%</w:t>
            </w: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 Staffing Services</w:t>
            </w:r>
          </w:p>
        </w:tc>
        <w:tc>
          <w:tcPr>
            <w:tcW w:w="132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95"/>
              </w:rPr>
              <w:t>24.5</w:t>
            </w:r>
          </w:p>
        </w:tc>
        <w:tc>
          <w:tcPr>
            <w:tcW w:w="1060" w:type="dxa"/>
            <w:vAlign w:val="bottom"/>
          </w:tcPr>
          <w:p>
            <w:pPr>
              <w:spacing w:after="0"/>
              <w:rPr>
                <w:sz w:val="18"/>
                <w:szCs w:val="18"/>
                <w:color w:val="auto"/>
              </w:rPr>
            </w:pPr>
          </w:p>
        </w:tc>
        <w:tc>
          <w:tcPr>
            <w:tcW w:w="150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r>
        <w:trPr>
          <w:trHeight w:val="27"/>
        </w:trPr>
        <w:tc>
          <w:tcPr>
            <w:tcW w:w="86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06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gross margin</w:t>
            </w:r>
          </w:p>
        </w:tc>
        <w:tc>
          <w:tcPr>
            <w:tcW w:w="238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28.1%</w:t>
            </w:r>
          </w:p>
        </w:tc>
        <w:tc>
          <w:tcPr>
            <w:tcW w:w="150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28.2%</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Gross margins from our Data and Analytics Services segment were 45.2% of revenues during the second quarter of 2025, which represented a decrease of 400-basis points compared to 49.2% of revenues during the second quarter of 2024. The margin reduction was primarily the result of a lower utilization rate in the 2025 quarter compared to the second quarter of 2024.</w:t>
      </w:r>
    </w:p>
    <w:p>
      <w:pPr>
        <w:spacing w:after="0" w:line="176"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Gross margins from our IT Staffing Services segment were 24.5% in the second quarter of 2025 compared to 23.6% during the corresponding quarter of 2024. This 90-basis point increase was due to higher quality placements on new assignments in 2025.</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20"/>
          </w:cols>
          <w:pgMar w:left="320" w:top="482"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(“SG&amp;A”) Expenses: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Below is a tabular presentation of operating expenses by expense category for the three months ended June 30, 2025 and 2024, respectively:</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8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SG&amp;A Expenses (Amounts in millions)</w:t>
            </w:r>
          </w:p>
        </w:tc>
        <w:tc>
          <w:tcPr>
            <w:tcW w:w="20" w:type="dxa"/>
            <w:vAlign w:val="bottom"/>
          </w:tcPr>
          <w:p>
            <w:pPr>
              <w:spacing w:after="0"/>
              <w:rPr>
                <w:sz w:val="13"/>
                <w:szCs w:val="13"/>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20" w:type="dxa"/>
            <w:vAlign w:val="bottom"/>
          </w:tcPr>
          <w:p>
            <w:pPr>
              <w:spacing w:after="0"/>
              <w:rPr>
                <w:sz w:val="13"/>
                <w:szCs w:val="13"/>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484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0" w:type="dxa"/>
            <w:vAlign w:val="bottom"/>
          </w:tcPr>
          <w:p>
            <w:pPr>
              <w:spacing w:after="0"/>
              <w:rPr>
                <w:sz w:val="1"/>
                <w:szCs w:val="1"/>
                <w:color w:val="auto"/>
              </w:rPr>
            </w:pPr>
          </w:p>
        </w:tc>
      </w:tr>
      <w:tr>
        <w:trPr>
          <w:trHeight w:val="176"/>
        </w:trPr>
        <w:tc>
          <w:tcPr>
            <w:tcW w:w="2840" w:type="dxa"/>
            <w:vAlign w:val="bottom"/>
            <w:tcBorders>
              <w:top w:val="single" w:sz="8" w:color="CCEEFF"/>
              <w:bottom w:val="single" w:sz="8" w:color="auto"/>
            </w:tcBorders>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auto"/>
                <w:w w:val="98"/>
              </w:rPr>
              <w:t>Data and Analytics Services Segment</w:t>
            </w:r>
          </w:p>
        </w:tc>
        <w:tc>
          <w:tcPr>
            <w:tcW w:w="200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1160" w:type="dxa"/>
            <w:vAlign w:val="bottom"/>
            <w:tcBorders>
              <w:top w:val="single" w:sz="8" w:color="auto"/>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82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spacing w:after="0"/>
              <w:rPr>
                <w:sz w:val="15"/>
                <w:szCs w:val="15"/>
                <w:color w:val="auto"/>
              </w:rPr>
            </w:pPr>
          </w:p>
        </w:tc>
        <w:tc>
          <w:tcPr>
            <w:tcW w:w="1160" w:type="dxa"/>
            <w:vAlign w:val="bottom"/>
            <w:tcBorders>
              <w:top w:val="single" w:sz="8" w:color="auto"/>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9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4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Operations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0.2</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3"/>
        </w:trPr>
        <w:tc>
          <w:tcPr>
            <w:tcW w:w="4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General &amp; Administrative</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4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Subtotal Data and Analytics Services</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4.0</w:t>
            </w:r>
          </w:p>
        </w:tc>
        <w:tc>
          <w:tcPr>
            <w:tcW w:w="98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3.6</w:t>
            </w:r>
          </w:p>
        </w:tc>
        <w:tc>
          <w:tcPr>
            <w:tcW w:w="0" w:type="dxa"/>
            <w:vAlign w:val="bottom"/>
          </w:tcPr>
          <w:p>
            <w:pPr>
              <w:spacing w:after="0"/>
              <w:rPr>
                <w:sz w:val="1"/>
                <w:szCs w:val="1"/>
                <w:color w:val="auto"/>
              </w:rPr>
            </w:pPr>
          </w:p>
        </w:tc>
      </w:tr>
      <w:tr>
        <w:trPr>
          <w:trHeight w:val="20"/>
        </w:trPr>
        <w:tc>
          <w:tcPr>
            <w:tcW w:w="48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IT Staffing Services Segment</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84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220" w:type="dxa"/>
            <w:vAlign w:val="bottom"/>
            <w:tcBorders>
              <w:top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c>
          <w:tcPr>
            <w:tcW w:w="98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4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Operations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4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&amp; Administrative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23"/>
        </w:trPr>
        <w:tc>
          <w:tcPr>
            <w:tcW w:w="4840" w:type="dxa"/>
            <w:vAlign w:val="bottom"/>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Subtotal IT Staffing Services</w:t>
            </w: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8.2</w:t>
            </w: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0.7</w:t>
            </w:r>
          </w:p>
        </w:tc>
        <w:tc>
          <w:tcPr>
            <w:tcW w:w="98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16"/>
        </w:trPr>
        <w:tc>
          <w:tcPr>
            <w:tcW w:w="4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Severance Expense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0.2</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and Accounting Transition Expense</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w w:val="96"/>
              </w:rPr>
              <w:t>— </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40" w:type="dxa"/>
            <w:vAlign w:val="bottom"/>
            <w:gridSpan w:val="3"/>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Total SG&amp;A Expenses</w:t>
            </w:r>
          </w:p>
        </w:tc>
        <w:tc>
          <w:tcPr>
            <w:tcW w:w="16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40" w:type="dxa"/>
            <w:vAlign w:val="bottom"/>
            <w:gridSpan w:val="3"/>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13.8</w:t>
            </w:r>
          </w:p>
        </w:tc>
        <w:tc>
          <w:tcPr>
            <w:tcW w:w="20" w:type="dxa"/>
            <w:vAlign w:val="bottom"/>
            <w:tcBorders>
              <w:bottom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SG&amp;A expenses for the three months ended June 30, 2025, totaled $13.8 million or 28.1% of total revenues, compared to $12.3 million or 24.8% of total revenues for the three months ended June 30, 2024. Excluding the severance expense and finance and accounting transition expense in the 2025 period and the amortization of acquired intangible assets in both periods, SG&amp;A expense as a percentage of total revenues would have been 24.8% and 23.4%, respectively.</w:t>
      </w:r>
    </w:p>
    <w:p>
      <w:pPr>
        <w:spacing w:after="0" w:line="180" w:lineRule="exact"/>
        <w:rPr>
          <w:sz w:val="20"/>
          <w:szCs w:val="20"/>
          <w:color w:val="auto"/>
        </w:rPr>
      </w:pPr>
    </w:p>
    <w:p>
      <w:pPr>
        <w:ind w:left="120" w:right="680" w:firstLine="440"/>
        <w:spacing w:after="0" w:line="282" w:lineRule="auto"/>
        <w:rPr>
          <w:sz w:val="20"/>
          <w:szCs w:val="20"/>
          <w:color w:val="auto"/>
        </w:rPr>
      </w:pPr>
      <w:r>
        <w:rPr>
          <w:rFonts w:ascii="Times New Roman" w:cs="Times New Roman" w:eastAsia="Times New Roman" w:hAnsi="Times New Roman"/>
          <w:sz w:val="18"/>
          <w:szCs w:val="18"/>
          <w:color w:val="auto"/>
        </w:rPr>
        <w:t>Fluctuations within SG&amp;A expense components during the second quarter of 2025, compared to the second quarter of 2024, included the following:</w:t>
      </w:r>
    </w:p>
    <w:p>
      <w:pPr>
        <w:spacing w:after="0" w:line="67" w:lineRule="exact"/>
        <w:rPr>
          <w:sz w:val="20"/>
          <w:szCs w:val="20"/>
          <w:color w:val="auto"/>
        </w:rPr>
      </w:pPr>
    </w:p>
    <w:p>
      <w:pPr>
        <w:ind w:left="1080" w:right="140" w:hanging="424"/>
        <w:spacing w:after="0" w:line="266"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expense was $0.1 million higher in the 2025 period compared to the corresponding 2024 period. The increase was primarily related to our IT Staffing Services segment, which had higher recruiting costs for sales leadership. Sales expenses in our Data and Analytics Services segment were essentially flat.</w:t>
      </w:r>
    </w:p>
    <w:p>
      <w:pPr>
        <w:spacing w:after="0" w:line="81"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Operations expenses decreased by $0.3 million in the 2025 period compared to the corresponding 2024 period. The entire decline occurred in our IT Staffing Services segment due to staff reductions. In our Data and Analytics Services segment, operating expenses were essentially flat.</w:t>
      </w:r>
    </w:p>
    <w:p>
      <w:pPr>
        <w:spacing w:after="0" w:line="81"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administrative expenses increased by $0.8 million in the 2025 period compared to the corresponding 2024 period. General and administrative expenses in our Data and Analytics Services segment increased by $0.5 million due to bad debt expense, executive leadership hires and higher stock-based compensation expense in the 2025 period. In our IT Staffing Services segment, general and administrative expenses increased by $0.3 million largely due to executive leadership hires, and higher stock-based compensation expense.</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acquired intangible assets was $0.7 million in both the 2025 and 2024 periods.</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Severance expense was $0.2 million in the 2025 period, compared to no expense in the second quarter of 2024. The expense related to the Company’s exiting IT Staffing Sales Management.</w:t>
      </w:r>
    </w:p>
    <w:p>
      <w:pPr>
        <w:spacing w:after="0" w:line="67" w:lineRule="exact"/>
        <w:rPr>
          <w:rFonts w:ascii="Times New Roman" w:cs="Times New Roman" w:eastAsia="Times New Roman" w:hAnsi="Times New Roman"/>
          <w:sz w:val="18"/>
          <w:szCs w:val="18"/>
          <w:color w:val="auto"/>
        </w:rPr>
      </w:pPr>
    </w:p>
    <w:p>
      <w:pPr>
        <w:ind w:left="1080" w:right="20" w:hanging="424"/>
        <w:spacing w:after="0" w:line="289" w:lineRule="auto"/>
        <w:tabs>
          <w:tab w:leader="none" w:pos="108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Finance and accounting transition expense was $0.7 million in the 2025 period, compared to no expense in the second quarter of 2024. The expense relates to the Company’s decision to transition the Company’s finance and accounting functions to India and includes severance and additional costs related to the duplication of resources and travel expenses during the training and knowledge transfer process.</w:t>
      </w:r>
    </w:p>
    <w:p>
      <w:pPr>
        <w:spacing w:after="0" w:line="2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Other Income / (Expense) Components: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Other Income / (Expense) for the three months ended June 30, 2025, consisted of interest income of $190,000 and foreign exchange losses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($7,000). For the three months ended June 30, 2024, Other Income / (Expense) consisted of interest income of $130,000 and foreign exchange losses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($14,000). The higher level of interest income was reflective of higher cash balances in the 2025 period. </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82"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Income Tax Expense (Benefit):</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Income tax expense (benefit) for the three months ended June 30, 2025, totaled $75,000, representing an effective tax rate on pre-tax income of 35.7%, compared to $418,000 expense for the three months ended June 30, 2024, which represented an effective tax rate on pre-tax income of 23.1%. In the 2024 period our effective tax rate was favorably impacted by a partial reversal of our tax valuation allowance due to profit generation in two of our foreign subsidiaries during the second quarter.</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 for the Six Months Ended June 30, 2025 as Compared to the Six Months Ended June 30, 2024:</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Revenues for the six months ended June 30, 2025, totaled $97.4 million, compared to $96.4 million for the corresponding six- month period in 2024. This 1% year-over-year revenue increase reflected a 4% increase in our Data and Analytics Services segment and a 1% increase in our IT Staffing Services segment. For the six months ended June 30, 2025, the Company had three clients that each had revenues in excess of 10% of total revenues (Fidelity = 14.0%, Populus = 12.1% and CGI = 11.5%). For the six months ended June 30, 2024, the Company had two clients that each had revenues in excess of 10% of total revenues (CGI = 16.1% and Populus = 10.1%). The Company’s top ten clients represented approximately 58% and 52% of total revenues for the six months ended June 30, 2025 and 2024, respectively.</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Below is a tabular presentation of revenues by reportable segment for the six months ended June 30, 2025 and 2024, respectively:</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9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Revenues (Amounts in millions)</w:t>
            </w:r>
          </w:p>
        </w:tc>
        <w:tc>
          <w:tcPr>
            <w:tcW w:w="3220" w:type="dxa"/>
            <w:vAlign w:val="bottom"/>
            <w:vMerge w:val="restart"/>
          </w:tcPr>
          <w:p>
            <w:pPr>
              <w:spacing w:after="0"/>
              <w:rPr>
                <w:sz w:val="13"/>
                <w:szCs w:val="13"/>
                <w:color w:val="auto"/>
              </w:rPr>
            </w:pPr>
          </w:p>
        </w:tc>
        <w:tc>
          <w:tcPr>
            <w:tcW w:w="156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420" w:type="dxa"/>
            <w:vAlign w:val="bottom"/>
          </w:tcPr>
          <w:p>
            <w:pPr>
              <w:spacing w:after="0"/>
              <w:rPr>
                <w:sz w:val="13"/>
                <w:szCs w:val="13"/>
                <w:color w:val="auto"/>
              </w:rPr>
            </w:pPr>
          </w:p>
        </w:tc>
        <w:tc>
          <w:tcPr>
            <w:tcW w:w="12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80"/>
        </w:trPr>
        <w:tc>
          <w:tcPr>
            <w:tcW w:w="1960" w:type="dxa"/>
            <w:vAlign w:val="bottom"/>
            <w:tcBorders>
              <w:bottom w:val="single" w:sz="8" w:color="auto"/>
            </w:tcBorders>
            <w:vMerge w:val="continue"/>
          </w:tcPr>
          <w:p>
            <w:pPr>
              <w:spacing w:after="0"/>
              <w:rPr>
                <w:sz w:val="15"/>
                <w:szCs w:val="15"/>
                <w:color w:val="auto"/>
              </w:rPr>
            </w:pPr>
          </w:p>
        </w:tc>
        <w:tc>
          <w:tcPr>
            <w:tcW w:w="32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2"/>
          </w:tcPr>
          <w:p>
            <w:pPr>
              <w:ind w:left="40"/>
              <w:spacing w:after="0" w:line="160" w:lineRule="exact"/>
              <w:rPr>
                <w:sz w:val="20"/>
                <w:szCs w:val="20"/>
                <w:color w:val="auto"/>
              </w:rPr>
            </w:pPr>
            <w:r>
              <w:rPr>
                <w:rFonts w:ascii="Times New Roman" w:cs="Times New Roman" w:eastAsia="Times New Roman" w:hAnsi="Times New Roman"/>
                <w:sz w:val="14"/>
                <w:szCs w:val="14"/>
                <w:b w:val="1"/>
                <w:bCs w:val="1"/>
                <w:color w:val="auto"/>
              </w:rPr>
              <w:t>June 30, 2025</w:t>
            </w: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June 30, 2024</w:t>
            </w:r>
          </w:p>
        </w:tc>
        <w:tc>
          <w:tcPr>
            <w:tcW w:w="0" w:type="dxa"/>
            <w:vAlign w:val="bottom"/>
          </w:tcPr>
          <w:p>
            <w:pPr>
              <w:spacing w:after="0"/>
              <w:rPr>
                <w:sz w:val="1"/>
                <w:szCs w:val="1"/>
                <w:color w:val="auto"/>
              </w:rPr>
            </w:pPr>
          </w:p>
        </w:tc>
      </w:tr>
      <w:tr>
        <w:trPr>
          <w:trHeight w:val="203"/>
        </w:trPr>
        <w:tc>
          <w:tcPr>
            <w:tcW w:w="51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Data and Analytics Services</w:t>
            </w: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17.5</w:t>
            </w:r>
          </w:p>
        </w:tc>
        <w:tc>
          <w:tcPr>
            <w:tcW w:w="4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17.0</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 Staffing Services</w:t>
            </w: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97.4</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96.4</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Revenues from our Data and Analytics Services segment totaled $17.5 million during the six months ended June 30, 2025, compared to</w:t>
      </w:r>
    </w:p>
    <w:p>
      <w:pPr>
        <w:spacing w:after="0" w:line="27" w:lineRule="exact"/>
        <w:rPr>
          <w:sz w:val="20"/>
          <w:szCs w:val="20"/>
          <w:color w:val="auto"/>
        </w:rPr>
      </w:pPr>
    </w:p>
    <w:p>
      <w:pPr>
        <w:jc w:val="both"/>
        <w:ind w:left="120" w:right="60"/>
        <w:spacing w:after="0" w:line="255" w:lineRule="auto"/>
        <w:rPr>
          <w:sz w:val="20"/>
          <w:szCs w:val="20"/>
          <w:color w:val="auto"/>
        </w:rPr>
      </w:pPr>
      <w:r>
        <w:rPr>
          <w:rFonts w:ascii="Times New Roman" w:cs="Times New Roman" w:eastAsia="Times New Roman" w:hAnsi="Times New Roman"/>
          <w:sz w:val="18"/>
          <w:szCs w:val="18"/>
          <w:color w:val="auto"/>
        </w:rPr>
        <w:t>$17.0 million in the corresponding six-month period last year. The 4% year-over-year increase largely reflected strong revenues during the first quarter of 2025 compared to the corresponding quarter of 2024. Order bookings for the first six months of 2025 totaled approximately $17.4 million, compared to bookings of $19 million for the first six months of 2024.</w:t>
      </w:r>
    </w:p>
    <w:p>
      <w:pPr>
        <w:spacing w:after="0" w:line="186"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Revenues from our IT Staffing Services segment totaled $79.9 million in the six months ended June 30, 2025, compared to $79.4 million during the corresponding 2024 period. This 1% increase largely reflected an increase in average bill rate due to higher quality of placements, offset by a lower level of billable consultants. At June 30, 2025 billable consultants totaled 980-consultants compared to 1,035-consultants at June 30, 2024.</w:t>
      </w:r>
    </w:p>
    <w:p>
      <w:pPr>
        <w:spacing w:after="0" w:line="2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Gross Margins:</w:t>
      </w:r>
    </w:p>
    <w:p>
      <w:pPr>
        <w:spacing w:after="0" w:line="119"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Gross profits in the six months ended June 30, 2025 totaled $26.7 million compared to $26.1 million in the corresponding period last year. Gross profit as a percentage of revenue was 27.4% for the six-month period ended June 30, 2025, compared to 27.1% during the same period of 2024. This 30-basis point increase largely reflected improvements in our IT Staffing Services segment, offset by lower margins in our Data and Analytics Services segment.</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Below is a tabular presentation of gross margin by reporting segment for the six months ended June 30, 2025 and 2024, respectively:</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8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Gross Margin</w:t>
            </w:r>
          </w:p>
        </w:tc>
        <w:tc>
          <w:tcPr>
            <w:tcW w:w="4000" w:type="dxa"/>
            <w:vAlign w:val="bottom"/>
            <w:vMerge w:val="restart"/>
          </w:tcPr>
          <w:p>
            <w:pPr>
              <w:spacing w:after="0"/>
              <w:rPr>
                <w:sz w:val="13"/>
                <w:szCs w:val="13"/>
                <w:color w:val="auto"/>
              </w:rPr>
            </w:pPr>
          </w:p>
        </w:tc>
        <w:tc>
          <w:tcPr>
            <w:tcW w:w="2160" w:type="dxa"/>
            <w:vAlign w:val="bottom"/>
            <w:gridSpan w:val="2"/>
          </w:tcPr>
          <w:p>
            <w:pPr>
              <w:jc w:val="center"/>
              <w:ind w:right="10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65"/>
        </w:trPr>
        <w:tc>
          <w:tcPr>
            <w:tcW w:w="860" w:type="dxa"/>
            <w:vAlign w:val="bottom"/>
            <w:tcBorders>
              <w:bottom w:val="single" w:sz="8" w:color="auto"/>
            </w:tcBorders>
            <w:vMerge w:val="continue"/>
          </w:tcPr>
          <w:p>
            <w:pPr>
              <w:spacing w:after="0"/>
              <w:rPr>
                <w:sz w:val="13"/>
                <w:szCs w:val="13"/>
                <w:color w:val="auto"/>
              </w:rPr>
            </w:pPr>
          </w:p>
        </w:tc>
        <w:tc>
          <w:tcPr>
            <w:tcW w:w="4000" w:type="dxa"/>
            <w:vAlign w:val="bottom"/>
            <w:vMerge w:val="continue"/>
          </w:tcPr>
          <w:p>
            <w:pPr>
              <w:spacing w:after="0"/>
              <w:rPr>
                <w:sz w:val="13"/>
                <w:szCs w:val="13"/>
                <w:color w:val="auto"/>
              </w:rPr>
            </w:pPr>
          </w:p>
        </w:tc>
        <w:tc>
          <w:tcPr>
            <w:tcW w:w="2160" w:type="dxa"/>
            <w:vAlign w:val="bottom"/>
            <w:gridSpan w:val="2"/>
          </w:tcPr>
          <w:p>
            <w:pPr>
              <w:jc w:val="center"/>
              <w:ind w:right="1000"/>
              <w:spacing w:after="0" w:line="160" w:lineRule="exact"/>
              <w:rPr>
                <w:sz w:val="20"/>
                <w:szCs w:val="20"/>
                <w:color w:val="auto"/>
              </w:rPr>
            </w:pPr>
            <w:r>
              <w:rPr>
                <w:rFonts w:ascii="Times New Roman" w:cs="Times New Roman" w:eastAsia="Times New Roman" w:hAnsi="Times New Roman"/>
                <w:sz w:val="14"/>
                <w:szCs w:val="14"/>
                <w:b w:val="1"/>
                <w:bCs w:val="1"/>
                <w:color w:val="auto"/>
              </w:rPr>
              <w:t>June 30, 2025</w:t>
            </w:r>
          </w:p>
        </w:tc>
        <w:tc>
          <w:tcPr>
            <w:tcW w:w="1340" w:type="dxa"/>
            <w:vAlign w:val="bottom"/>
            <w:gridSpan w:val="2"/>
          </w:tcPr>
          <w:p>
            <w:pPr>
              <w:jc w:val="center"/>
              <w:ind w:right="180"/>
              <w:spacing w:after="0" w:line="160" w:lineRule="exact"/>
              <w:rPr>
                <w:sz w:val="20"/>
                <w:szCs w:val="20"/>
                <w:color w:val="auto"/>
              </w:rPr>
            </w:pPr>
            <w:r>
              <w:rPr>
                <w:rFonts w:ascii="Times New Roman" w:cs="Times New Roman" w:eastAsia="Times New Roman" w:hAnsi="Times New Roman"/>
                <w:sz w:val="14"/>
                <w:szCs w:val="14"/>
                <w:b w:val="1"/>
                <w:bCs w:val="1"/>
                <w:color w:val="auto"/>
              </w:rPr>
              <w:t>June 30, 2024</w:t>
            </w:r>
          </w:p>
        </w:tc>
        <w:tc>
          <w:tcPr>
            <w:tcW w:w="0" w:type="dxa"/>
            <w:vAlign w:val="bottom"/>
          </w:tcPr>
          <w:p>
            <w:pPr>
              <w:spacing w:after="0"/>
              <w:rPr>
                <w:sz w:val="1"/>
                <w:szCs w:val="1"/>
                <w:color w:val="auto"/>
              </w:rPr>
            </w:pPr>
          </w:p>
        </w:tc>
      </w:tr>
      <w:tr>
        <w:trPr>
          <w:trHeight w:val="20"/>
        </w:trPr>
        <w:tc>
          <w:tcPr>
            <w:tcW w:w="48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Data and Analytics Services</w:t>
            </w:r>
          </w:p>
        </w:tc>
        <w:tc>
          <w:tcPr>
            <w:tcW w:w="1140" w:type="dxa"/>
            <w:vAlign w:val="bottom"/>
            <w:shd w:val="clear" w:color="auto" w:fill="000000"/>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860" w:type="dxa"/>
            <w:vAlign w:val="bottom"/>
            <w:gridSpan w:val="2"/>
            <w:vMerge w:val="continue"/>
            <w:shd w:val="clear" w:color="auto" w:fill="CCEEFF"/>
          </w:tcPr>
          <w:p>
            <w:pPr>
              <w:spacing w:after="0"/>
              <w:rPr>
                <w:sz w:val="17"/>
                <w:szCs w:val="17"/>
                <w:color w:val="auto"/>
              </w:rPr>
            </w:pPr>
          </w:p>
        </w:tc>
        <w:tc>
          <w:tcPr>
            <w:tcW w:w="2160" w:type="dxa"/>
            <w:vAlign w:val="bottom"/>
            <w:gridSpan w:val="2"/>
            <w:shd w:val="clear" w:color="auto" w:fill="CCEEFF"/>
          </w:tcPr>
          <w:p>
            <w:pPr>
              <w:ind w:left="840"/>
              <w:spacing w:after="0" w:line="203" w:lineRule="exact"/>
              <w:rPr>
                <w:sz w:val="20"/>
                <w:szCs w:val="20"/>
                <w:color w:val="auto"/>
              </w:rPr>
            </w:pPr>
            <w:r>
              <w:rPr>
                <w:rFonts w:ascii="Times New Roman" w:cs="Times New Roman" w:eastAsia="Times New Roman" w:hAnsi="Times New Roman"/>
                <w:sz w:val="18"/>
                <w:szCs w:val="18"/>
                <w:color w:val="auto"/>
              </w:rPr>
              <w:t>44.6%</w:t>
            </w:r>
          </w:p>
        </w:tc>
        <w:tc>
          <w:tcPr>
            <w:tcW w:w="1340" w:type="dxa"/>
            <w:vAlign w:val="bottom"/>
            <w:gridSpan w:val="2"/>
            <w:shd w:val="clear" w:color="auto" w:fill="CCEEFF"/>
          </w:tcPr>
          <w:p>
            <w:pPr>
              <w:ind w:left="840"/>
              <w:spacing w:after="0" w:line="203" w:lineRule="exact"/>
              <w:rPr>
                <w:sz w:val="20"/>
                <w:szCs w:val="20"/>
                <w:color w:val="auto"/>
              </w:rPr>
            </w:pPr>
            <w:r>
              <w:rPr>
                <w:rFonts w:ascii="Times New Roman" w:cs="Times New Roman" w:eastAsia="Times New Roman" w:hAnsi="Times New Roman"/>
                <w:sz w:val="18"/>
                <w:szCs w:val="18"/>
                <w:color w:val="auto"/>
              </w:rPr>
              <w:t>47.9%</w:t>
            </w:r>
          </w:p>
        </w:tc>
        <w:tc>
          <w:tcPr>
            <w:tcW w:w="0" w:type="dxa"/>
            <w:vAlign w:val="bottom"/>
          </w:tcPr>
          <w:p>
            <w:pPr>
              <w:spacing w:after="0"/>
              <w:rPr>
                <w:sz w:val="1"/>
                <w:szCs w:val="1"/>
                <w:color w:val="auto"/>
              </w:rPr>
            </w:pPr>
          </w:p>
        </w:tc>
      </w:tr>
      <w:tr>
        <w:trPr>
          <w:trHeight w:val="216"/>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 Staffing Services</w:t>
            </w:r>
          </w:p>
        </w:tc>
        <w:tc>
          <w:tcPr>
            <w:tcW w:w="216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23.6</w:t>
            </w:r>
          </w:p>
        </w:tc>
        <w:tc>
          <w:tcPr>
            <w:tcW w:w="13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27"/>
        </w:trPr>
        <w:tc>
          <w:tcPr>
            <w:tcW w:w="86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gross margin</w:t>
            </w:r>
          </w:p>
        </w:tc>
        <w:tc>
          <w:tcPr>
            <w:tcW w:w="216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27.4%</w:t>
            </w:r>
          </w:p>
        </w:tc>
        <w:tc>
          <w:tcPr>
            <w:tcW w:w="13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0" w:firstLine="440"/>
        <w:spacing w:after="0" w:line="312" w:lineRule="auto"/>
        <w:rPr>
          <w:sz w:val="20"/>
          <w:szCs w:val="20"/>
          <w:color w:val="auto"/>
        </w:rPr>
      </w:pPr>
      <w:r>
        <w:rPr>
          <w:rFonts w:ascii="Times New Roman" w:cs="Times New Roman" w:eastAsia="Times New Roman" w:hAnsi="Times New Roman"/>
          <w:sz w:val="17"/>
          <w:szCs w:val="17"/>
          <w:color w:val="auto"/>
        </w:rPr>
        <w:t>Gross margins from our Data and Analytics Services segment were 44.6% of revenues during the six-month period ended June 30, 2025, compared to 47.9% in the corresponding period of 2024. This gross margin decrease reflected lower utilization rates during the first six months of 2025.</w:t>
      </w:r>
    </w:p>
    <w:p>
      <w:pPr>
        <w:spacing w:after="0" w:line="7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00"/>
          </w:cols>
          <w:pgMar w:left="320" w:top="482" w:right="4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700" w:firstLine="440"/>
        <w:spacing w:after="0" w:line="282" w:lineRule="auto"/>
        <w:rPr>
          <w:sz w:val="20"/>
          <w:szCs w:val="20"/>
          <w:color w:val="auto"/>
        </w:rPr>
      </w:pPr>
      <w:r>
        <w:rPr>
          <w:rFonts w:ascii="Times New Roman" w:cs="Times New Roman" w:eastAsia="Times New Roman" w:hAnsi="Times New Roman"/>
          <w:sz w:val="18"/>
          <w:szCs w:val="18"/>
          <w:color w:val="auto"/>
        </w:rPr>
        <w:t>Gross margins from our IT Staffing Services segment were 23.6% in the six months ended June 30, 2025, compared to 22.7% during the corresponding period of 2024. This 90-basis point increase was due to higher margins and bill rates on new assignments in 2025.</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(“SG&amp;A”) Expenses: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Below is a tabular presentation of operating expenses by expense category for the six months ended June 30, 2025, and 2024, respectively:</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2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SG&amp;A Expenses (Amounts in millions)</w:t>
            </w:r>
          </w:p>
        </w:tc>
        <w:tc>
          <w:tcPr>
            <w:tcW w:w="11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760" w:type="dxa"/>
            <w:vAlign w:val="bottom"/>
          </w:tcPr>
          <w:p>
            <w:pPr>
              <w:spacing w:after="0"/>
              <w:rPr>
                <w:sz w:val="13"/>
                <w:szCs w:val="13"/>
                <w:color w:val="auto"/>
              </w:rPr>
            </w:pP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524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0" w:type="dxa"/>
            <w:vAlign w:val="bottom"/>
          </w:tcPr>
          <w:p>
            <w:pPr>
              <w:spacing w:after="0"/>
              <w:rPr>
                <w:sz w:val="1"/>
                <w:szCs w:val="1"/>
                <w:color w:val="auto"/>
              </w:rPr>
            </w:pPr>
          </w:p>
        </w:tc>
      </w:tr>
      <w:tr>
        <w:trPr>
          <w:trHeight w:val="176"/>
        </w:trPr>
        <w:tc>
          <w:tcPr>
            <w:tcW w:w="2840" w:type="dxa"/>
            <w:vAlign w:val="bottom"/>
            <w:tcBorders>
              <w:top w:val="single" w:sz="8" w:color="CCEEFF"/>
              <w:bottom w:val="single" w:sz="8" w:color="auto"/>
            </w:tcBorders>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auto"/>
                <w:w w:val="98"/>
              </w:rPr>
              <w:t>Data and Analytics Services Segment</w:t>
            </w:r>
          </w:p>
        </w:tc>
        <w:tc>
          <w:tcPr>
            <w:tcW w:w="24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1020" w:type="dxa"/>
            <w:vAlign w:val="bottom"/>
            <w:tcBorders>
              <w:top w:val="single" w:sz="8" w:color="auto"/>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76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1020" w:type="dxa"/>
            <w:vAlign w:val="bottom"/>
            <w:tcBorders>
              <w:top w:val="single" w:sz="8" w:color="auto"/>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c>
          <w:tcPr>
            <w:tcW w:w="9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5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Operations</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0.3</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3"/>
        </w:trPr>
        <w:tc>
          <w:tcPr>
            <w:tcW w:w="5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General &amp; Administrative</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4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Subtotal Data and Analytics Services</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8.1</w:t>
            </w:r>
          </w:p>
        </w:tc>
        <w:tc>
          <w:tcPr>
            <w:tcW w:w="9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7.8</w:t>
            </w:r>
          </w:p>
        </w:tc>
        <w:tc>
          <w:tcPr>
            <w:tcW w:w="0" w:type="dxa"/>
            <w:vAlign w:val="bottom"/>
          </w:tcPr>
          <w:p>
            <w:pPr>
              <w:spacing w:after="0"/>
              <w:rPr>
                <w:sz w:val="1"/>
                <w:szCs w:val="1"/>
                <w:color w:val="auto"/>
              </w:rPr>
            </w:pPr>
          </w:p>
        </w:tc>
      </w:tr>
      <w:tr>
        <w:trPr>
          <w:trHeight w:val="20"/>
        </w:trPr>
        <w:tc>
          <w:tcPr>
            <w:tcW w:w="52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IT Staffing Services Segment</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24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20" w:type="dxa"/>
            <w:vAlign w:val="bottom"/>
            <w:tcBorders>
              <w:top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c>
          <w:tcPr>
            <w:tcW w:w="9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5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Operations</w:t>
            </w:r>
          </w:p>
        </w:tc>
        <w:tc>
          <w:tcPr>
            <w:tcW w:w="1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5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&amp; Administrative</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8.3</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23"/>
        </w:trPr>
        <w:tc>
          <w:tcPr>
            <w:tcW w:w="5240" w:type="dxa"/>
            <w:vAlign w:val="bottom"/>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Subtotal IT Staffing Services</w:t>
            </w: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16.8</w:t>
            </w: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9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5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Severance Expense</w:t>
            </w:r>
          </w:p>
        </w:tc>
        <w:tc>
          <w:tcPr>
            <w:tcW w:w="1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and Accounting Transition Expense</w:t>
            </w: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w w:val="96"/>
              </w:rPr>
              <w:t>— </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gridSpan w:val="3"/>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Total SG&amp;A Expenses</w:t>
            </w:r>
          </w:p>
        </w:tc>
        <w:tc>
          <w:tcPr>
            <w:tcW w:w="1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40" w:type="dxa"/>
            <w:vAlign w:val="bottom"/>
            <w:gridSpan w:val="3"/>
            <w:vMerge w:val="continue"/>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28.5</w:t>
            </w:r>
          </w:p>
        </w:tc>
        <w:tc>
          <w:tcPr>
            <w:tcW w:w="20" w:type="dxa"/>
            <w:vAlign w:val="bottom"/>
            <w:tcBorders>
              <w:bottom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SG&amp;A expenses for the six months ended June 30, 2025, totaled $28.5 million or 29.3% of total revenues, compared to $24.8 million or 25.8% of total revenues for the six months ended June 30, 2024. Excluding the severance expense and finance and accounting transition expense in the 2025 period and the amortization of acquired intangible assets in both periods, SG&amp;A expense as a percentage of total revenues would have been 25.6% and 24.3%, respectively.</w:t>
      </w:r>
    </w:p>
    <w:p>
      <w:pPr>
        <w:spacing w:after="0" w:line="180"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Fluctuations within SG&amp;A expense components during the first six months of 2025, compared to the first six months of 2024, included the following:</w:t>
      </w:r>
    </w:p>
    <w:p>
      <w:pPr>
        <w:spacing w:after="0" w:line="67" w:lineRule="exact"/>
        <w:rPr>
          <w:sz w:val="20"/>
          <w:szCs w:val="20"/>
          <w:color w:val="auto"/>
        </w:rPr>
      </w:pPr>
    </w:p>
    <w:p>
      <w:pPr>
        <w:ind w:left="1080" w:right="480" w:hanging="424"/>
        <w:spacing w:after="0" w:line="266"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expense decreased by $0.2 million in the 2025 period compared to the corresponding 2024 period. In our Data and Analytics Services segment sales expense decreased by $0.4 million which was due to headcount reductions. Sales expenses in our IT Staffing Services segment were up $0.2 million compared to the previous year due to higher recruiting costs for sales leadership.</w:t>
      </w:r>
    </w:p>
    <w:p>
      <w:pPr>
        <w:spacing w:after="0" w:line="81"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Operations expense decreased by $0.2 million in the 2025 period compared to the corresponding 2024 period. The entire decline occurred in our IT Staffing Services segment due to staff reductions.</w:t>
      </w:r>
    </w:p>
    <w:p>
      <w:pPr>
        <w:spacing w:after="0" w:line="67" w:lineRule="exact"/>
        <w:rPr>
          <w:rFonts w:ascii="Times New Roman" w:cs="Times New Roman" w:eastAsia="Times New Roman" w:hAnsi="Times New Roman"/>
          <w:sz w:val="18"/>
          <w:szCs w:val="18"/>
          <w:color w:val="auto"/>
        </w:rPr>
      </w:pPr>
    </w:p>
    <w:p>
      <w:pPr>
        <w:ind w:left="1080" w:right="60" w:hanging="424"/>
        <w:spacing w:after="0" w:line="281" w:lineRule="auto"/>
        <w:tabs>
          <w:tab w:leader="none" w:pos="108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and administrative expense increased by $1.9 million in the 2025 period compared to the corresponding 2024 period. General and administrative expense in our IT Staffing Services segment, increased by $1.2 million largely due to executive compensation, including stock-based compensation, as well as higher recruiting fees. In our Data and Analytics Services segment, general and administrative expense increased by $0.7 million primarily due to executive compensation, including stock based compensation, and bad debt expense.</w:t>
      </w:r>
    </w:p>
    <w:p>
      <w:pPr>
        <w:spacing w:after="0" w:line="69" w:lineRule="exact"/>
        <w:rPr>
          <w:rFonts w:ascii="Times New Roman" w:cs="Times New Roman" w:eastAsia="Times New Roman" w:hAnsi="Times New Roman"/>
          <w:sz w:val="17"/>
          <w:szCs w:val="17"/>
          <w:color w:val="auto"/>
        </w:rPr>
      </w:pPr>
    </w:p>
    <w:p>
      <w:pPr>
        <w:ind w:left="1080" w:right="34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acquired intangible assets was $0.1 million lower in the 2025 period compared to the corresponding 2024 period, as a portion of our intangible assets became fully amortized in 2025.</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Severance expense was $1.6 million in the 2025 period, compared to no expense in the 2024 period. The expense related to the Company’s exiting Chief Financial Officer and IT Staffing Sales Management.</w:t>
      </w:r>
    </w:p>
    <w:p>
      <w:pPr>
        <w:spacing w:after="0" w:line="67" w:lineRule="exact"/>
        <w:rPr>
          <w:rFonts w:ascii="Times New Roman" w:cs="Times New Roman" w:eastAsia="Times New Roman" w:hAnsi="Times New Roman"/>
          <w:sz w:val="18"/>
          <w:szCs w:val="18"/>
          <w:color w:val="auto"/>
        </w:rPr>
      </w:pPr>
    </w:p>
    <w:p>
      <w:pPr>
        <w:ind w:left="1080" w:right="160" w:hanging="424"/>
        <w:spacing w:after="0" w:line="266"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Finance and accounting transition expense was $0.7 million in the 2025 period, compared to no expense in the 2024 period. The expense relates to the Company’s decision to transition the Company’s finance and accounting functions to India and includes severance and additional costs related to the duplication of resources and travel expenses during the training and knowledge transfer process.</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00"/>
          </w:cols>
          <w:pgMar w:left="320" w:top="482" w:right="4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Other Income / (Expense) Components: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Other Income / (Expense) for the six months ended June 30, 2025, consisted of net interest income of $305,000 and foreign exchange losses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($31,000). For the six months ended June 30, 2024, Other Income / (Expense) consisted of interest income of $284,000 and foreign exchange losses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($44,000). The interest income was reflective of higher cash balances on hand in the 2025 period.</w:t>
      </w:r>
    </w:p>
    <w:p>
      <w:pPr>
        <w:spacing w:after="0" w:line="3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11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Income tax expense (benefit) for the six months ended June 30, 2025 totaled $(248,000) representing an effective tax rate on pre-tax income of 16.0% compared to $297,000 for the six months ended June 30, 2024, which represented a 19.4% effective tax rate on pre-tax income. The 2025 period tax rate compared to the 2024 period reflected a favorable adjustment to our tax valuation allowance due to the utilization of Singapore tax benefits offset by shortfalls in the expected tax benefits of option exercised in 2024.</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Financial Conditions and Liquidity:</w:t>
      </w:r>
    </w:p>
    <w:p>
      <w:pPr>
        <w:spacing w:after="0" w:line="119"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As of June 30, 2025, we had no bank debt, cash balances on hand of $27.9 million and approximately $22.2 million of borrowing capacity under our existing credit facility.</w:t>
      </w:r>
    </w:p>
    <w:p>
      <w:pPr>
        <w:spacing w:after="0" w:line="162"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Historically, we have funded our organic business needs with cash generated from operating activities. Controlling our operating working capital levels by closely managing our accounts receivable balance is an important element of cash generation. As of June 30, 2025, our accounts receivable “days sales outstanding” (“DSOs”) measurement remained steady at 53-days, which was the level reported at June 30, 2024.</w:t>
      </w:r>
    </w:p>
    <w:p>
      <w:pPr>
        <w:spacing w:after="0" w:line="176"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We believe that cash provided by operating activities, cash balances on hand and current availability under our credit facility will be adequate to fund our business needs and support our share repurchase program that we announced in February 2023 over the next twelve months, absent any acquisition-related activities.</w:t>
      </w:r>
    </w:p>
    <w:p>
      <w:pPr>
        <w:spacing w:after="0" w:line="2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Cash flows provided by (used in) operating activities:</w:t>
      </w:r>
    </w:p>
    <w:p>
      <w:pPr>
        <w:spacing w:after="0" w:line="11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Cash provided by operating activities for the six months ended June 30, 2025, totaled $0.3 million compared to cash (used in) operating activities of ($0.1 million) during the six months ended June 30, 2024. Elements of cash flow during the 2025 period were a net (loss) of ($1.3) million, non-cash charges of $1.3 million and a decrease in operating working capital levels of $0.3 million. Elements of cash flow during the corresponding 2024 period were a net income of $1.2 million, non-cash charges of $2.9 million and an increase in operating working capital levels of ($4.2 million). Operating working capital decreased in 2025 due to lower accounts receivable and an increase in other accrued liabilities.</w:t>
      </w:r>
    </w:p>
    <w:p>
      <w:pPr>
        <w:spacing w:after="0" w:line="2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Cash flows (used in) investing activities:</w:t>
      </w:r>
    </w:p>
    <w:p>
      <w:pPr>
        <w:spacing w:after="0" w:line="119" w:lineRule="exact"/>
        <w:rPr>
          <w:sz w:val="20"/>
          <w:szCs w:val="20"/>
          <w:color w:val="auto"/>
        </w:rPr>
      </w:pPr>
    </w:p>
    <w:p>
      <w:pPr>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Cash (used in) investing activities for the six months ended June 30, 2025, was ($188,000) compared to ($751,000) for the six months ended June 30, 2024. In 2025 investing activities included capital expenditures of ($169,000), and office lease deposits of ($19,000). In 2024, investing activities consisted of capital expenditures.</w:t>
      </w:r>
    </w:p>
    <w:p>
      <w:pPr>
        <w:spacing w:after="0" w:line="2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Cash flows provided by (used in) financing activities:</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Cash provided by financing activities for the six months ended June 30, 2025, totaled $64,000 and consisted of proceeds from the exercise of stock options of $108,000, the issuance of common shares related to our Employee Stock Purchase Plan of $70,000, partially offset by the purchase of treasury shares of ($114,000). Cash provided by financing activities for the six months ended June 30, 2024, totaled $378,000 and consisted of proceeds from the exercise of stock options of $322,000, the issuance of common shares related to our Employee Stock Purchase Plan of $136,000, partially offset by the purchase of treasury shares of ($80,000).</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60"/>
          </w:cols>
          <w:pgMar w:left="320" w:top="482" w:right="5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Off-Balance Sheet Arrangements:</w:t>
      </w:r>
    </w:p>
    <w:p>
      <w:pPr>
        <w:spacing w:after="0" w:line="119"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Other than $324,000 in outstanding letters of credit issued under our Credit Agreement, we do not have any off-balance sheet arrangements. For further details about the outstanding letters of credit, refer to Note 8 — “Credit Facility” in the Notes to Condensed Consolidated Financial Statements included herein.</w:t>
      </w:r>
    </w:p>
    <w:p>
      <w:pPr>
        <w:spacing w:after="0" w:line="2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Inflation:</w:t>
      </w:r>
    </w:p>
    <w:p>
      <w:pPr>
        <w:spacing w:after="0" w:line="119" w:lineRule="exact"/>
        <w:rPr>
          <w:sz w:val="20"/>
          <w:szCs w:val="20"/>
          <w:color w:val="auto"/>
        </w:rPr>
      </w:pPr>
    </w:p>
    <w:p>
      <w:pPr>
        <w:ind w:left="120" w:right="300" w:firstLine="440"/>
        <w:spacing w:after="0" w:line="256" w:lineRule="auto"/>
        <w:rPr>
          <w:sz w:val="20"/>
          <w:szCs w:val="20"/>
          <w:color w:val="auto"/>
        </w:rPr>
      </w:pPr>
      <w:r>
        <w:rPr>
          <w:rFonts w:ascii="Times New Roman" w:cs="Times New Roman" w:eastAsia="Times New Roman" w:hAnsi="Times New Roman"/>
          <w:sz w:val="18"/>
          <w:szCs w:val="18"/>
          <w:color w:val="auto"/>
        </w:rPr>
        <w:t>We do not believe that inflation had a significant impact on our results of operations for the periods presented, although economic uncertainty, including the concerns of our clients and other companies with respect to inflationary conditions in North America and elsewhere, has had and may continue to have an adverse impact on the demand for our services. On an ongoing basis, we attempt to minimize any effects of inflation on our operating results by controlling operating costs and, whenever possible, seek to ensure that billing rates reflect increases in costs due to inflation. However, high levels of inflation may result in higher interest rates which could increase our borrowing costs in the future if we elect to draw on our current or future credit facilities.</w:t>
      </w:r>
    </w:p>
    <w:p>
      <w:pPr>
        <w:spacing w:after="0" w:line="187"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In addition, refer to “Item 1A. Risk factors” in our 2024 Annual Report on Form 10-K for a discussion about risks that inflation directly or indirectly may pose to our business.</w:t>
      </w:r>
    </w:p>
    <w:p>
      <w:pPr>
        <w:spacing w:after="0" w:line="2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Seasonality:</w:t>
      </w:r>
    </w:p>
    <w:p>
      <w:pPr>
        <w:spacing w:after="0" w:line="119"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Our consultants’ billable hours are affected by national holidays and vacation policies. Accordingly, we generally have lower utilization rates and higher benefit costs during the fourth quarter. Additionally, assignment completions tend to be higher near the end of the calendar year, which largely impacts our revenue and gross profit performance during the subsequent quarter.</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Recent accounting pronouncements are described in Note 13 to the accompanying financial statements.</w:t>
      </w:r>
    </w:p>
    <w:p>
      <w:pPr>
        <w:spacing w:after="0" w:line="37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QUANTITATIVE AND QUALITATIVE DISCLOSURES ABOUT MARKET RISK</w:t>
      </w:r>
    </w:p>
    <w:p>
      <w:pPr>
        <w:spacing w:after="0" w:line="121"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In addition to the inherent operational risks, the Company is exposed to certain market risks, primarily related to changes in interest rates and currency fluctuations.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Interest Rates</w:t>
      </w:r>
    </w:p>
    <w:p>
      <w:pPr>
        <w:spacing w:after="0" w:line="121"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As of June 30, 2025, we had no outstanding borrowings under the Credit Agreements — Refer to Note 8 — “Credit Facility” in the Notes to Condensed Consolidated Financial Statements, included herein.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Currency Fluctuations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reporting currency of the Company and its subsidiaries is the U.S. dollar. The functional currency of the Company’s subsidiary in Canada is the U.S. dollar because the majority of its revenue is denominated in U.S. dollars. The functional currencies of the Company’s Indian and European subsidiaries are the local currency of the location of such subsidiary. The results of operations of the Company’s Indian and European subsidiaries are translated at the monthly average exchange rates prevailing during the period. The financial position of the Company’s Indian and European subsidiaries is translated at the current exchange rates at the end of the period, and the related translation adjustments are recorded as a component of accumulated other comprehensive income (loss) within Shareholders’ Equity. Gains and losses resulting from foreign currency transactions are included as a component of other income (expense), net in the Condensed Consolidated Statements of Operations, and have not been material for all periods presented. A hypothetical 10% increase or decrease in overall foreign currency rates in the first six months of 2025 would not have had a material impact on our consolidated financial statements.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00"/>
          </w:cols>
          <w:pgMar w:left="320" w:top="482" w:right="4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CONTROLS AND PROCEDURES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121" w:lineRule="exact"/>
        <w:rPr>
          <w:sz w:val="20"/>
          <w:szCs w:val="20"/>
          <w:color w:val="auto"/>
        </w:rPr>
      </w:pPr>
    </w:p>
    <w:p>
      <w:pPr>
        <w:ind w:left="120" w:right="20" w:firstLine="440"/>
        <w:spacing w:after="0" w:line="281" w:lineRule="auto"/>
        <w:rPr>
          <w:sz w:val="20"/>
          <w:szCs w:val="20"/>
          <w:color w:val="auto"/>
        </w:rPr>
      </w:pPr>
      <w:r>
        <w:rPr>
          <w:rFonts w:ascii="Times New Roman" w:cs="Times New Roman" w:eastAsia="Times New Roman" w:hAnsi="Times New Roman"/>
          <w:sz w:val="17"/>
          <w:szCs w:val="17"/>
          <w:color w:val="auto"/>
        </w:rPr>
        <w:t>The Company maintains disclosure controls and procedures that are designed to ensure that information required to be disclosed in the reports that the Company files or submits under the Securities Exchange Act of 1934, as amended (the “Exchange Act”),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disclosure.</w:t>
      </w:r>
    </w:p>
    <w:p>
      <w:pPr>
        <w:spacing w:after="0" w:line="164"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As of the end of the period covered by this report, the Company carried out an evaluation, under the supervision and with the participation of Company management, including the Chief Executive Officer and the Chief Financial Officer, of the effectiveness of the design and operation of the Company’s disclosure controls and procedures pursuant to Exchange Act Rules 13a-15(b). Based upon that evaluation, the Chief Executive Officer and the Chief Financial Officer concluded that the Company’s disclosure controls and procedures were effective.</w:t>
      </w:r>
    </w:p>
    <w:p>
      <w:pPr>
        <w:spacing w:after="0" w:line="180"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are met. Further, the design of disclosure controls and procedures must reflect the fact that there are resource constraints, and the benefits must be considered relative to their costs. Because of the inherent limitations in all disclosure controls and procedures, no evaluation of disclosure controls and procedures can provide absolute assurance that we have detected all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during the quarter ended June 30, 2025 that materially affected, or are reasonably likely to materially affect, our internal control over financial reporting.</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In the ordinary course of our business, we are involved in a number of lawsuits and administrative proceedings. While uncertainties are inherent in the final outcome of these matters, management believes, after consultation with legal counsel, that the disposition of these proceedings should not have a material adverse effect on our financial position, results of operations or cash flows.</w:t>
      </w:r>
    </w:p>
    <w:p>
      <w:pPr>
        <w:spacing w:after="0" w:line="32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121" w:lineRule="exact"/>
        <w:rPr>
          <w:sz w:val="20"/>
          <w:szCs w:val="20"/>
          <w:color w:val="auto"/>
        </w:rPr>
      </w:pPr>
    </w:p>
    <w:p>
      <w:pPr>
        <w:ind w:left="120" w:right="660" w:firstLine="44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from the risk factors as previously disclosed in our Annual Report on Form 10-K for the year ended December 31, 2024, filed with the SEC on March 14, 2025.</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20"/>
          </w:cols>
          <w:pgMar w:left="320" w:top="482"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UNREGISTERED SALES OF EQUITY SECURITIES AND USE OF PROCEEDS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summary of our Common Stock repurchased during the quarter ended June 30, 2025 is set forth in the following table:</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2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600" w:type="dxa"/>
            <w:vAlign w:val="bottom"/>
          </w:tcPr>
          <w:p>
            <w:pPr>
              <w:spacing w:after="0"/>
              <w:rPr>
                <w:sz w:val="13"/>
                <w:szCs w:val="13"/>
                <w:color w:val="auto"/>
              </w:rPr>
            </w:pPr>
          </w:p>
        </w:tc>
        <w:tc>
          <w:tcPr>
            <w:tcW w:w="10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600" w:type="dxa"/>
            <w:vAlign w:val="bottom"/>
          </w:tcPr>
          <w:p>
            <w:pPr>
              <w:spacing w:after="0"/>
              <w:rPr>
                <w:sz w:val="12"/>
                <w:szCs w:val="12"/>
                <w:color w:val="auto"/>
              </w:rPr>
            </w:pPr>
          </w:p>
        </w:tc>
        <w:tc>
          <w:tcPr>
            <w:tcW w:w="106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1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w:t>
            </w:r>
          </w:p>
        </w:tc>
        <w:tc>
          <w:tcPr>
            <w:tcW w:w="600" w:type="dxa"/>
            <w:vAlign w:val="bottom"/>
          </w:tcPr>
          <w:p>
            <w:pPr>
              <w:spacing w:after="0"/>
              <w:rPr>
                <w:sz w:val="12"/>
                <w:szCs w:val="12"/>
                <w:color w:val="auto"/>
              </w:rPr>
            </w:pPr>
          </w:p>
        </w:tc>
        <w:tc>
          <w:tcPr>
            <w:tcW w:w="106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Shares that May</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600" w:type="dxa"/>
            <w:vAlign w:val="bottom"/>
          </w:tcPr>
          <w:p>
            <w:pPr>
              <w:spacing w:after="0"/>
              <w:rPr>
                <w:sz w:val="12"/>
                <w:szCs w:val="12"/>
                <w:color w:val="auto"/>
              </w:rPr>
            </w:pPr>
          </w:p>
        </w:tc>
        <w:tc>
          <w:tcPr>
            <w:tcW w:w="10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Yet Be</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30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w:t>
            </w:r>
          </w:p>
        </w:tc>
        <w:tc>
          <w:tcPr>
            <w:tcW w:w="600" w:type="dxa"/>
            <w:vAlign w:val="bottom"/>
          </w:tcPr>
          <w:p>
            <w:pPr>
              <w:spacing w:after="0"/>
              <w:rPr>
                <w:sz w:val="12"/>
                <w:szCs w:val="12"/>
                <w:color w:val="auto"/>
              </w:rPr>
            </w:pPr>
          </w:p>
        </w:tc>
        <w:tc>
          <w:tcPr>
            <w:tcW w:w="10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0" w:type="dxa"/>
            <w:vAlign w:val="bottom"/>
          </w:tcPr>
          <w:p>
            <w:pPr>
              <w:spacing w:after="0"/>
              <w:rPr>
                <w:sz w:val="1"/>
                <w:szCs w:val="1"/>
                <w:color w:val="auto"/>
              </w:rPr>
            </w:pPr>
          </w:p>
        </w:tc>
      </w:tr>
      <w:tr>
        <w:trPr>
          <w:trHeight w:val="149"/>
        </w:trPr>
        <w:tc>
          <w:tcPr>
            <w:tcW w:w="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4440" w:type="dxa"/>
            <w:vAlign w:val="bottom"/>
            <w:vMerge w:val="restart"/>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300" w:type="dxa"/>
            <w:vAlign w:val="bottom"/>
          </w:tcPr>
          <w:p>
            <w:pPr>
              <w:spacing w:after="0"/>
              <w:rPr>
                <w:sz w:val="12"/>
                <w:szCs w:val="12"/>
                <w:color w:val="auto"/>
              </w:rPr>
            </w:pPr>
          </w:p>
        </w:tc>
        <w:tc>
          <w:tcPr>
            <w:tcW w:w="11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Plans or</w:t>
            </w:r>
          </w:p>
        </w:tc>
        <w:tc>
          <w:tcPr>
            <w:tcW w:w="600" w:type="dxa"/>
            <w:vAlign w:val="bottom"/>
          </w:tcPr>
          <w:p>
            <w:pPr>
              <w:spacing w:after="0"/>
              <w:rPr>
                <w:sz w:val="12"/>
                <w:szCs w:val="12"/>
                <w:color w:val="auto"/>
              </w:rPr>
            </w:pPr>
          </w:p>
        </w:tc>
        <w:tc>
          <w:tcPr>
            <w:tcW w:w="10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Under this Plan</w:t>
            </w:r>
          </w:p>
        </w:tc>
        <w:tc>
          <w:tcPr>
            <w:tcW w:w="0" w:type="dxa"/>
            <w:vAlign w:val="bottom"/>
          </w:tcPr>
          <w:p>
            <w:pPr>
              <w:spacing w:after="0"/>
              <w:rPr>
                <w:sz w:val="1"/>
                <w:szCs w:val="1"/>
                <w:color w:val="auto"/>
              </w:rPr>
            </w:pPr>
          </w:p>
        </w:tc>
      </w:tr>
      <w:tr>
        <w:trPr>
          <w:trHeight w:val="180"/>
        </w:trPr>
        <w:tc>
          <w:tcPr>
            <w:tcW w:w="420" w:type="dxa"/>
            <w:vAlign w:val="bottom"/>
            <w:tcBorders>
              <w:bottom w:val="single" w:sz="8" w:color="auto"/>
            </w:tcBorders>
            <w:vMerge w:val="continue"/>
          </w:tcPr>
          <w:p>
            <w:pPr>
              <w:spacing w:after="0"/>
              <w:rPr>
                <w:sz w:val="15"/>
                <w:szCs w:val="15"/>
                <w:color w:val="auto"/>
              </w:rPr>
            </w:pPr>
          </w:p>
        </w:tc>
        <w:tc>
          <w:tcPr>
            <w:tcW w:w="4440" w:type="dxa"/>
            <w:vAlign w:val="bottom"/>
            <w:vMerge w:val="continue"/>
          </w:tcPr>
          <w:p>
            <w:pPr>
              <w:spacing w:after="0"/>
              <w:rPr>
                <w:sz w:val="15"/>
                <w:szCs w:val="15"/>
                <w:color w:val="auto"/>
              </w:rPr>
            </w:pPr>
          </w:p>
        </w:tc>
        <w:tc>
          <w:tcPr>
            <w:tcW w:w="1160" w:type="dxa"/>
            <w:vAlign w:val="bottom"/>
            <w:gridSpan w:val="2"/>
          </w:tcPr>
          <w:p>
            <w:pPr>
              <w:jc w:val="center"/>
              <w:ind w:right="300"/>
              <w:spacing w:after="0" w:line="160" w:lineRule="exact"/>
              <w:rPr>
                <w:sz w:val="20"/>
                <w:szCs w:val="20"/>
                <w:color w:val="auto"/>
              </w:rPr>
            </w:pPr>
            <w:r>
              <w:rPr>
                <w:rFonts w:ascii="Times New Roman" w:cs="Times New Roman" w:eastAsia="Times New Roman" w:hAnsi="Times New Roman"/>
                <w:sz w:val="14"/>
                <w:szCs w:val="14"/>
                <w:b w:val="1"/>
                <w:bCs w:val="1"/>
                <w:color w:val="auto"/>
              </w:rPr>
              <w:t>Purchased (1)</w:t>
            </w:r>
          </w:p>
        </w:tc>
        <w:tc>
          <w:tcPr>
            <w:tcW w:w="300" w:type="dxa"/>
            <w:vAlign w:val="bottom"/>
          </w:tcPr>
          <w:p>
            <w:pPr>
              <w:spacing w:after="0"/>
              <w:rPr>
                <w:sz w:val="15"/>
                <w:szCs w:val="15"/>
                <w:color w:val="auto"/>
              </w:rPr>
            </w:pPr>
          </w:p>
        </w:tc>
        <w:tc>
          <w:tcPr>
            <w:tcW w:w="116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Share (1)</w:t>
            </w:r>
          </w:p>
        </w:tc>
        <w:tc>
          <w:tcPr>
            <w:tcW w:w="9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Programs (1)</w:t>
            </w:r>
          </w:p>
        </w:tc>
        <w:tc>
          <w:tcPr>
            <w:tcW w:w="600" w:type="dxa"/>
            <w:vAlign w:val="bottom"/>
          </w:tcPr>
          <w:p>
            <w:pPr>
              <w:spacing w:after="0"/>
              <w:rPr>
                <w:sz w:val="15"/>
                <w:szCs w:val="15"/>
                <w:color w:val="auto"/>
              </w:rPr>
            </w:pPr>
          </w:p>
        </w:tc>
        <w:tc>
          <w:tcPr>
            <w:tcW w:w="1060" w:type="dxa"/>
            <w:vAlign w:val="bottom"/>
            <w:gridSpan w:val="2"/>
          </w:tcPr>
          <w:p>
            <w:pPr>
              <w:jc w:val="center"/>
              <w:ind w:right="40"/>
              <w:spacing w:after="0" w:line="160" w:lineRule="exact"/>
              <w:rPr>
                <w:sz w:val="20"/>
                <w:szCs w:val="20"/>
                <w:color w:val="auto"/>
              </w:rPr>
            </w:pPr>
            <w:r>
              <w:rPr>
                <w:rFonts w:ascii="Times New Roman" w:cs="Times New Roman" w:eastAsia="Times New Roman" w:hAnsi="Times New Roman"/>
                <w:sz w:val="14"/>
                <w:szCs w:val="14"/>
                <w:b w:val="1"/>
                <w:bCs w:val="1"/>
                <w:color w:val="auto"/>
              </w:rPr>
              <w:t>or Programs (1)</w:t>
            </w:r>
          </w:p>
        </w:tc>
        <w:tc>
          <w:tcPr>
            <w:tcW w:w="0" w:type="dxa"/>
            <w:vAlign w:val="bottom"/>
          </w:tcPr>
          <w:p>
            <w:pPr>
              <w:spacing w:after="0"/>
              <w:rPr>
                <w:sz w:val="1"/>
                <w:szCs w:val="1"/>
                <w:color w:val="auto"/>
              </w:rPr>
            </w:pPr>
          </w:p>
        </w:tc>
      </w:tr>
      <w:tr>
        <w:trPr>
          <w:trHeight w:val="203"/>
        </w:trPr>
        <w:tc>
          <w:tcPr>
            <w:tcW w:w="48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April 1, 2025 — April 30, 2025</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w:t>
            </w:r>
          </w:p>
        </w:tc>
        <w:tc>
          <w:tcPr>
            <w:tcW w:w="3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81"/>
              </w:rPr>
              <w:t>— </w:t>
            </w:r>
          </w:p>
        </w:tc>
        <w:tc>
          <w:tcPr>
            <w:tcW w:w="6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ind w:left="700"/>
              <w:spacing w:after="0" w:line="203" w:lineRule="exact"/>
              <w:rPr>
                <w:sz w:val="20"/>
                <w:szCs w:val="20"/>
                <w:color w:val="auto"/>
              </w:rPr>
            </w:pPr>
            <w:r>
              <w:rPr>
                <w:rFonts w:ascii="Times New Roman" w:cs="Times New Roman" w:eastAsia="Times New Roman" w:hAnsi="Times New Roman"/>
                <w:sz w:val="18"/>
                <w:szCs w:val="18"/>
                <w:color w:val="auto"/>
                <w:w w:val="96"/>
              </w:rPr>
              <w:t>— </w:t>
            </w:r>
          </w:p>
        </w:tc>
        <w:tc>
          <w:tcPr>
            <w:tcW w:w="6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423,079</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1, 2025 — May 31, 2025</w:t>
            </w: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6,201</w:t>
            </w:r>
          </w:p>
        </w:tc>
        <w:tc>
          <w:tcPr>
            <w:tcW w:w="4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w w:val="95"/>
              </w:rPr>
              <w:t>7.33</w:t>
            </w:r>
          </w:p>
        </w:tc>
        <w:tc>
          <w:tcPr>
            <w:tcW w:w="98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6"/>
              </w:rPr>
              <w:t>— </w:t>
            </w:r>
          </w:p>
        </w:tc>
        <w:tc>
          <w:tcPr>
            <w:tcW w:w="16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416,878</w:t>
            </w: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1, 2025 — June 30, 2025</w:t>
            </w: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10,310</w:t>
            </w:r>
          </w:p>
        </w:tc>
        <w:tc>
          <w:tcPr>
            <w:tcW w:w="4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center"/>
              <w:ind w:right="520"/>
              <w:spacing w:after="0"/>
              <w:rPr>
                <w:sz w:val="20"/>
                <w:szCs w:val="20"/>
                <w:color w:val="auto"/>
              </w:rPr>
            </w:pPr>
            <w:r>
              <w:rPr>
                <w:rFonts w:ascii="Times New Roman" w:cs="Times New Roman" w:eastAsia="Times New Roman" w:hAnsi="Times New Roman"/>
                <w:sz w:val="18"/>
                <w:szCs w:val="18"/>
                <w:color w:val="auto"/>
                <w:w w:val="95"/>
              </w:rPr>
              <w:t>6.64</w:t>
            </w:r>
          </w:p>
        </w:tc>
        <w:tc>
          <w:tcPr>
            <w:tcW w:w="9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96"/>
              </w:rPr>
              <w:t>— </w:t>
            </w:r>
          </w:p>
        </w:tc>
        <w:tc>
          <w:tcPr>
            <w:tcW w:w="16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406,568</w:t>
            </w:r>
          </w:p>
        </w:tc>
        <w:tc>
          <w:tcPr>
            <w:tcW w:w="0" w:type="dxa"/>
            <w:vAlign w:val="bottom"/>
          </w:tcPr>
          <w:p>
            <w:pPr>
              <w:spacing w:after="0"/>
              <w:rPr>
                <w:sz w:val="1"/>
                <w:szCs w:val="1"/>
                <w:color w:val="auto"/>
              </w:rPr>
            </w:pPr>
          </w:p>
        </w:tc>
      </w:tr>
      <w:tr>
        <w:trPr>
          <w:trHeight w:val="228"/>
        </w:trPr>
        <w:tc>
          <w:tcPr>
            <w:tcW w:w="4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16,511</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6.90</w:t>
            </w:r>
          </w:p>
        </w:tc>
        <w:tc>
          <w:tcPr>
            <w:tcW w:w="600" w:type="dxa"/>
            <w:vAlign w:val="bottom"/>
          </w:tcPr>
          <w:p>
            <w:pPr>
              <w:spacing w:after="0"/>
              <w:rPr>
                <w:sz w:val="19"/>
                <w:szCs w:val="19"/>
                <w:color w:val="auto"/>
              </w:rPr>
            </w:pPr>
          </w:p>
        </w:tc>
        <w:tc>
          <w:tcPr>
            <w:tcW w:w="980" w:type="dxa"/>
            <w:vAlign w:val="bottom"/>
            <w:tcBorders>
              <w:top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w w:val="96"/>
              </w:rPr>
              <w:t>— </w:t>
            </w:r>
          </w:p>
        </w:tc>
        <w:tc>
          <w:tcPr>
            <w:tcW w:w="60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406,568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82550</wp:posOffset>
            </wp:positionV>
            <wp:extent cx="7715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6" w:lineRule="exact"/>
        <w:rPr>
          <w:sz w:val="20"/>
          <w:szCs w:val="20"/>
          <w:color w:val="auto"/>
        </w:rPr>
      </w:pPr>
    </w:p>
    <w:p>
      <w:pPr>
        <w:ind w:left="540" w:right="60" w:hanging="424"/>
        <w:spacing w:after="0" w:line="255" w:lineRule="auto"/>
        <w:tabs>
          <w:tab w:leader="none" w:pos="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8, 2023, the Company announced that the Board of Directors authorized a share repurchase program of up to 500,000 shares of Common Stock over a two-year period. Repurchases under the program may occur from time to time in the open market, through privately negotiated transactions, through block purchases or other purchase techniques (including a Rule 10b5-1 program), or by any combination of such methods, and the program may be modified, suspended or terminated at any time at the discretion of the Board of Directors. On February 19, 2025, the Company announced that the Board of Directors had authorized an extension of its previously announced share repurchase program for an additional year through February 8, 2026. The Company did not repurchase any shares of its Common Stock during the quarter ended June 30, 2025, other than through this publicly announced share repurchase program.</w:t>
      </w:r>
    </w:p>
    <w:p>
      <w:pPr>
        <w:spacing w:after="0" w:line="333"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OTHER INFORMATION</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Rule 10b5-1 Trading Plans of Directors and Section 16 Officers</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During the fiscal quarter ended June 30, 2025, none of our directors or officers (as defined in Exchange Act Rule 16a-1(f)) informed us of the adoption, modification or termination of a “Rule 10b5-1 trading arrangement” or “non-Rule 10b5-1 trading arrangement,” as those terms are defined in Regulation S-K, Item 408.</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Rule 10b5-1 Trading Plans of the Company</w:t>
      </w:r>
    </w:p>
    <w:p>
      <w:pPr>
        <w:spacing w:after="0" w:line="121" w:lineRule="exact"/>
        <w:rPr>
          <w:sz w:val="20"/>
          <w:szCs w:val="20"/>
          <w:color w:val="auto"/>
        </w:rPr>
      </w:pPr>
    </w:p>
    <w:p>
      <w:pPr>
        <w:ind w:left="120" w:firstLine="440"/>
        <w:spacing w:after="0" w:line="274" w:lineRule="auto"/>
        <w:rPr>
          <w:sz w:val="20"/>
          <w:szCs w:val="20"/>
          <w:color w:val="auto"/>
        </w:rPr>
      </w:pPr>
      <w:r>
        <w:rPr>
          <w:rFonts w:ascii="Times New Roman" w:cs="Times New Roman" w:eastAsia="Times New Roman" w:hAnsi="Times New Roman"/>
          <w:sz w:val="17"/>
          <w:szCs w:val="17"/>
          <w:color w:val="auto"/>
        </w:rPr>
        <w:t>On June 9, 2025, the Company entered into a Rule 10b5-1 and Rule 10b-18 Repurchase Plan (the “10b5-1 Plan”) under our share repurchase program. The 10b5-1 Plan is intended to satisfy the affirmative defense conditions of Exchange Act Rule 10b5-1(c) and authorizes the purchase of up to 406,568 shares of our Common Stock. The 10b5-1 Plan expires on February 8, 2026 if not otherwise terminated or amended. During the three months ended June 30, 2025, we did not purchase any shares of our Common Stock under the 10b5-1 Plan. Future repurchases may be made in the open market, through privately negotiated transactions, through block purchases or other purchase techniques, or by any combination of such methods, The Company has no obligation to repurchase any shares of Common Stock under the 10b5-1 Plan and may suspend or terminate the 10b5-1 Plan at any time.</w:t>
      </w:r>
    </w:p>
    <w:p>
      <w:pPr>
        <w:spacing w:after="0" w:line="1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00"/>
          </w:cols>
          <w:pgMar w:left="320" w:top="482" w:right="4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EXHIBITS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Exhibits</w:t>
      </w: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  10.1</w:t>
            </w:r>
          </w:p>
        </w:tc>
        <w:tc>
          <w:tcPr>
            <w:tcW w:w="946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48">
              <w:r>
                <w:rPr>
                  <w:rFonts w:ascii="Times New Roman" w:cs="Times New Roman" w:eastAsia="Times New Roman" w:hAnsi="Times New Roman"/>
                  <w:sz w:val="18"/>
                  <w:szCs w:val="18"/>
                  <w:color w:val="0000EE"/>
                  <w:w w:val="99"/>
                </w:rPr>
                <w:t>Executive Employment Agreement, made as of March 31, 2025, by and between Mastech Digital, Inc. and Kannan Sugantharaman</w:t>
              </w:r>
            </w:hyperlink>
          </w:p>
        </w:tc>
        <w:tc>
          <w:tcPr>
            <w:tcW w:w="420" w:type="dxa"/>
            <w:vAlign w:val="bottom"/>
            <w:gridSpan w:val="3"/>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988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48">
              <w:r>
                <w:rPr>
                  <w:rFonts w:ascii="Times New Roman" w:cs="Times New Roman" w:eastAsia="Times New Roman" w:hAnsi="Times New Roman"/>
                  <w:sz w:val="18"/>
                  <w:szCs w:val="18"/>
                  <w:color w:val="0000EE"/>
                  <w:w w:val="99"/>
                </w:rPr>
                <w:t>(incorporated by reference to Exhibit 10.1 to Mastech Digital, Inc.’s Current Report on Form 8-K, filed with the Securities and Exchange</w:t>
              </w:r>
            </w:hyperlink>
          </w:p>
        </w:tc>
      </w:tr>
      <w:tr>
        <w:trPr>
          <w:trHeight w:val="196"/>
        </w:trPr>
        <w:tc>
          <w:tcPr>
            <w:tcW w:w="1100" w:type="dxa"/>
            <w:vAlign w:val="bottom"/>
          </w:tcPr>
          <w:p>
            <w:pPr>
              <w:spacing w:after="0"/>
              <w:rPr>
                <w:sz w:val="17"/>
                <w:szCs w:val="17"/>
                <w:color w:val="auto"/>
              </w:rPr>
            </w:pPr>
          </w:p>
        </w:tc>
        <w:tc>
          <w:tcPr>
            <w:tcW w:w="9880" w:type="dxa"/>
            <w:vAlign w:val="bottom"/>
            <w:gridSpan w:val="14"/>
          </w:tcPr>
          <w:p>
            <w:pPr>
              <w:spacing w:after="0" w:line="196" w:lineRule="exact"/>
              <w:rPr>
                <w:rFonts w:ascii="Times New Roman" w:cs="Times New Roman" w:eastAsia="Times New Roman" w:hAnsi="Times New Roman"/>
                <w:sz w:val="18"/>
                <w:szCs w:val="18"/>
                <w:color w:val="0000EE"/>
              </w:rPr>
            </w:pPr>
            <w:hyperlink r:id="rId48">
              <w:r>
                <w:rPr>
                  <w:rFonts w:ascii="Times New Roman" w:cs="Times New Roman" w:eastAsia="Times New Roman" w:hAnsi="Times New Roman"/>
                  <w:sz w:val="18"/>
                  <w:szCs w:val="18"/>
                  <w:color w:val="0000EE"/>
                </w:rPr>
                <w:t>Commission on April 4, 2025)</w:t>
              </w:r>
            </w:hyperlink>
          </w:p>
        </w:tc>
      </w:tr>
      <w:tr>
        <w:trPr>
          <w:trHeight w:val="20"/>
        </w:trPr>
        <w:tc>
          <w:tcPr>
            <w:tcW w:w="110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  10.2</w:t>
            </w:r>
          </w:p>
        </w:tc>
        <w:tc>
          <w:tcPr>
            <w:tcW w:w="910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r:id="rId49">
              <w:r>
                <w:rPr>
                  <w:rFonts w:ascii="Times New Roman" w:cs="Times New Roman" w:eastAsia="Times New Roman" w:hAnsi="Times New Roman"/>
                  <w:sz w:val="18"/>
                  <w:szCs w:val="18"/>
                  <w:color w:val="0000EE"/>
                  <w:w w:val="99"/>
                </w:rPr>
                <w:t>Executive Employment Agreement, made as of March 31, 2025, by and between Mastech Digital Private Limited and Kannan</w:t>
              </w:r>
            </w:hyperlink>
          </w:p>
        </w:tc>
        <w:tc>
          <w:tcPr>
            <w:tcW w:w="780" w:type="dxa"/>
            <w:vAlign w:val="bottom"/>
            <w:gridSpan w:val="5"/>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9880" w:type="dxa"/>
            <w:vAlign w:val="bottom"/>
            <w:gridSpan w:val="14"/>
          </w:tcPr>
          <w:p>
            <w:pPr>
              <w:spacing w:after="0" w:line="196" w:lineRule="exact"/>
              <w:rPr>
                <w:rFonts w:ascii="Times New Roman" w:cs="Times New Roman" w:eastAsia="Times New Roman" w:hAnsi="Times New Roman"/>
                <w:sz w:val="18"/>
                <w:szCs w:val="18"/>
                <w:color w:val="0000EE"/>
              </w:rPr>
            </w:pPr>
            <w:hyperlink r:id="rId49">
              <w:r>
                <w:rPr>
                  <w:rFonts w:ascii="Times New Roman" w:cs="Times New Roman" w:eastAsia="Times New Roman" w:hAnsi="Times New Roman"/>
                  <w:sz w:val="18"/>
                  <w:szCs w:val="18"/>
                  <w:color w:val="0000EE"/>
                </w:rPr>
                <w:t>Sugantharaman (incorporated by reference to Exhibit 10.2 to Mastech Digital, Inc.’s Current Report on Form 8-K, filed with the</w:t>
              </w:r>
            </w:hyperlink>
          </w:p>
        </w:tc>
      </w:tr>
      <w:tr>
        <w:trPr>
          <w:trHeight w:val="196"/>
        </w:trPr>
        <w:tc>
          <w:tcPr>
            <w:tcW w:w="1100" w:type="dxa"/>
            <w:vAlign w:val="bottom"/>
          </w:tcPr>
          <w:p>
            <w:pPr>
              <w:spacing w:after="0"/>
              <w:rPr>
                <w:sz w:val="17"/>
                <w:szCs w:val="17"/>
                <w:color w:val="auto"/>
              </w:rPr>
            </w:pPr>
          </w:p>
        </w:tc>
        <w:tc>
          <w:tcPr>
            <w:tcW w:w="922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49">
              <w:r>
                <w:rPr>
                  <w:rFonts w:ascii="Times New Roman" w:cs="Times New Roman" w:eastAsia="Times New Roman" w:hAnsi="Times New Roman"/>
                  <w:sz w:val="18"/>
                  <w:szCs w:val="18"/>
                  <w:color w:val="0000EE"/>
                </w:rPr>
                <w:t>Securities and Exchange Commission on April 4, 2025)</w:t>
              </w:r>
            </w:hyperlink>
          </w:p>
        </w:tc>
        <w:tc>
          <w:tcPr>
            <w:tcW w:w="660" w:type="dxa"/>
            <w:vAlign w:val="bottom"/>
            <w:gridSpan w:val="4"/>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  10.3</w:t>
            </w:r>
          </w:p>
        </w:tc>
        <w:tc>
          <w:tcPr>
            <w:tcW w:w="9880" w:type="dxa"/>
            <w:vAlign w:val="bottom"/>
            <w:gridSpan w:val="14"/>
          </w:tcPr>
          <w:p>
            <w:pPr>
              <w:spacing w:after="0"/>
              <w:rPr>
                <w:rFonts w:ascii="Times New Roman" w:cs="Times New Roman" w:eastAsia="Times New Roman" w:hAnsi="Times New Roman"/>
                <w:sz w:val="18"/>
                <w:szCs w:val="18"/>
                <w:color w:val="0000EE"/>
              </w:rPr>
            </w:pPr>
            <w:hyperlink r:id="rId50">
              <w:r>
                <w:rPr>
                  <w:rFonts w:ascii="Times New Roman" w:cs="Times New Roman" w:eastAsia="Times New Roman" w:hAnsi="Times New Roman"/>
                  <w:sz w:val="18"/>
                  <w:szCs w:val="18"/>
                  <w:color w:val="0000EE"/>
                </w:rPr>
                <w:t>First Amendment to Mastech Digital, Inc. Stock Incentive Plan, as Amended and Restated, executed May 14, 2025, incorporated by</w:t>
              </w:r>
            </w:hyperlink>
          </w:p>
        </w:tc>
      </w:tr>
      <w:tr>
        <w:trPr>
          <w:trHeight w:val="196"/>
        </w:trPr>
        <w:tc>
          <w:tcPr>
            <w:tcW w:w="1100" w:type="dxa"/>
            <w:vAlign w:val="bottom"/>
          </w:tcPr>
          <w:p>
            <w:pPr>
              <w:spacing w:after="0"/>
              <w:rPr>
                <w:sz w:val="17"/>
                <w:szCs w:val="17"/>
                <w:color w:val="auto"/>
              </w:rPr>
            </w:pPr>
          </w:p>
        </w:tc>
        <w:tc>
          <w:tcPr>
            <w:tcW w:w="950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50">
              <w:r>
                <w:rPr>
                  <w:rFonts w:ascii="Times New Roman" w:cs="Times New Roman" w:eastAsia="Times New Roman" w:hAnsi="Times New Roman"/>
                  <w:sz w:val="18"/>
                  <w:szCs w:val="18"/>
                  <w:color w:val="0000EE"/>
                </w:rPr>
                <w:t>reference to Exhibit 10.1 to Mastech Digital, Inc.’s Current Report on Form 8-K filed with the SEC on May 19, 2025</w:t>
              </w:r>
            </w:hyperlink>
          </w:p>
        </w:tc>
        <w:tc>
          <w:tcPr>
            <w:tcW w:w="380" w:type="dxa"/>
            <w:vAlign w:val="bottom"/>
            <w:gridSpan w:val="2"/>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52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  10.4</w:t>
            </w:r>
          </w:p>
        </w:tc>
        <w:tc>
          <w:tcPr>
            <w:tcW w:w="988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Confidential Separation Agreement and General Release among Mastech Digital, Inc., Mastech Digital Technologies, Inc. and John J.</w:t>
            </w:r>
          </w:p>
        </w:tc>
      </w:tr>
      <w:tr>
        <w:trPr>
          <w:trHeight w:val="196"/>
        </w:trPr>
        <w:tc>
          <w:tcPr>
            <w:tcW w:w="1100" w:type="dxa"/>
            <w:vAlign w:val="bottom"/>
          </w:tcPr>
          <w:p>
            <w:pPr>
              <w:spacing w:after="0"/>
              <w:rPr>
                <w:sz w:val="17"/>
                <w:szCs w:val="17"/>
                <w:color w:val="auto"/>
              </w:rPr>
            </w:pPr>
          </w:p>
        </w:tc>
        <w:tc>
          <w:tcPr>
            <w:tcW w:w="76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6"/>
              </w:rPr>
              <w:t>Cronin, Jr.</w:t>
            </w:r>
          </w:p>
        </w:tc>
        <w:tc>
          <w:tcPr>
            <w:tcW w:w="8880" w:type="dxa"/>
            <w:vAlign w:val="bottom"/>
            <w:tcBorders>
              <w:top w:val="single" w:sz="8" w:color="0000EE"/>
            </w:tcBorders>
            <w:gridSpan w:val="12"/>
          </w:tcPr>
          <w:p>
            <w:pPr>
              <w:spacing w:after="0"/>
              <w:rPr>
                <w:sz w:val="17"/>
                <w:szCs w:val="17"/>
                <w:color w:val="auto"/>
              </w:rPr>
            </w:pPr>
          </w:p>
        </w:tc>
        <w:tc>
          <w:tcPr>
            <w:tcW w:w="240" w:type="dxa"/>
            <w:vAlign w:val="bottom"/>
          </w:tcPr>
          <w:p>
            <w:pPr>
              <w:spacing w:after="0"/>
              <w:rPr>
                <w:sz w:val="17"/>
                <w:szCs w:val="17"/>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  31.1</w:t>
            </w:r>
          </w:p>
        </w:tc>
        <w:tc>
          <w:tcPr>
            <w:tcW w:w="874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Certification pursuant to Section 302 of the Sarbanes-Oxley Act of 2002 by the Chief Executive Officer is filed herewith.</w:t>
            </w:r>
          </w:p>
        </w:tc>
        <w:tc>
          <w:tcPr>
            <w:tcW w:w="1140" w:type="dxa"/>
            <w:vAlign w:val="bottom"/>
            <w:gridSpan w:val="6"/>
          </w:tcPr>
          <w:p>
            <w:pPr>
              <w:spacing w:after="0"/>
              <w:rPr>
                <w:sz w:val="24"/>
                <w:szCs w:val="24"/>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  31.2</w:t>
            </w:r>
          </w:p>
        </w:tc>
        <w:tc>
          <w:tcPr>
            <w:tcW w:w="988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Certification pursuant to Section 302 of the Sarbanes-Oxley Act of 2002 by the Chief Financial Officer is filed herewith.</w:t>
            </w:r>
          </w:p>
        </w:tc>
      </w:tr>
      <w:tr>
        <w:trPr>
          <w:trHeight w:val="20"/>
        </w:trPr>
        <w:tc>
          <w:tcPr>
            <w:tcW w:w="1100" w:type="dxa"/>
            <w:vAlign w:val="bottom"/>
          </w:tcPr>
          <w:p>
            <w:pPr>
              <w:spacing w:after="0" w:line="20" w:lineRule="exact"/>
              <w:rPr>
                <w:sz w:val="1"/>
                <w:szCs w:val="1"/>
                <w:color w:val="auto"/>
              </w:rPr>
            </w:pPr>
          </w:p>
        </w:tc>
        <w:tc>
          <w:tcPr>
            <w:tcW w:w="284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780" w:type="dxa"/>
            <w:vAlign w:val="bottom"/>
            <w:gridSpan w:val="3"/>
            <w:shd w:val="clear" w:color="auto" w:fill="0000EE"/>
          </w:tcPr>
          <w:p>
            <w:pPr>
              <w:spacing w:after="0" w:line="20" w:lineRule="exact"/>
              <w:rPr>
                <w:sz w:val="1"/>
                <w:szCs w:val="1"/>
                <w:color w:val="auto"/>
              </w:rPr>
            </w:pPr>
          </w:p>
        </w:tc>
        <w:tc>
          <w:tcPr>
            <w:tcW w:w="960" w:type="dxa"/>
            <w:vAlign w:val="bottom"/>
            <w:gridSpan w:val="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  32.1</w:t>
            </w:r>
          </w:p>
        </w:tc>
        <w:tc>
          <w:tcPr>
            <w:tcW w:w="988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Certification pursuant to 18 U.S.C. Section 1350, as adopted pursuant to Section 906 of the Sarbanes-Oxley Act of 2002, by the Chief</w:t>
            </w:r>
          </w:p>
        </w:tc>
      </w:tr>
      <w:tr>
        <w:trPr>
          <w:trHeight w:val="196"/>
        </w:trPr>
        <w:tc>
          <w:tcPr>
            <w:tcW w:w="1100" w:type="dxa"/>
            <w:vAlign w:val="bottom"/>
          </w:tcPr>
          <w:p>
            <w:pPr>
              <w:spacing w:after="0"/>
              <w:rPr>
                <w:sz w:val="17"/>
                <w:szCs w:val="17"/>
                <w:color w:val="auto"/>
              </w:rPr>
            </w:pPr>
          </w:p>
        </w:tc>
        <w:tc>
          <w:tcPr>
            <w:tcW w:w="290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Executive Officer is furnished herewith.</w:t>
            </w:r>
          </w:p>
        </w:tc>
        <w:tc>
          <w:tcPr>
            <w:tcW w:w="6740" w:type="dxa"/>
            <w:vAlign w:val="bottom"/>
            <w:tcBorders>
              <w:top w:val="single" w:sz="8" w:color="0000EE"/>
            </w:tcBorders>
            <w:gridSpan w:val="9"/>
          </w:tcPr>
          <w:p>
            <w:pPr>
              <w:spacing w:after="0"/>
              <w:rPr>
                <w:sz w:val="17"/>
                <w:szCs w:val="17"/>
                <w:color w:val="auto"/>
              </w:rPr>
            </w:pPr>
          </w:p>
        </w:tc>
        <w:tc>
          <w:tcPr>
            <w:tcW w:w="240" w:type="dxa"/>
            <w:vAlign w:val="bottom"/>
          </w:tcPr>
          <w:p>
            <w:pPr>
              <w:spacing w:after="0"/>
              <w:rPr>
                <w:sz w:val="17"/>
                <w:szCs w:val="17"/>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  32.2</w:t>
            </w:r>
          </w:p>
        </w:tc>
        <w:tc>
          <w:tcPr>
            <w:tcW w:w="988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Certification pursuant to 18 U.S.C. Section 1350, as adopted pursuant to Section 906 of the Sarbanes-Oxley Act of 2002, by the Chief</w:t>
            </w:r>
          </w:p>
        </w:tc>
      </w:tr>
      <w:tr>
        <w:trPr>
          <w:trHeight w:val="196"/>
        </w:trPr>
        <w:tc>
          <w:tcPr>
            <w:tcW w:w="1100" w:type="dxa"/>
            <w:vAlign w:val="bottom"/>
          </w:tcPr>
          <w:p>
            <w:pPr>
              <w:spacing w:after="0"/>
              <w:rPr>
                <w:sz w:val="17"/>
                <w:szCs w:val="17"/>
                <w:color w:val="auto"/>
              </w:rPr>
            </w:pPr>
          </w:p>
        </w:tc>
        <w:tc>
          <w:tcPr>
            <w:tcW w:w="9640" w:type="dxa"/>
            <w:vAlign w:val="bottom"/>
            <w:tcBorders>
              <w:top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Financial Officer is furnished herewith.</w:t>
            </w:r>
          </w:p>
        </w:tc>
        <w:tc>
          <w:tcPr>
            <w:tcW w:w="24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2840" w:type="dxa"/>
            <w:vAlign w:val="bottom"/>
            <w:gridSpan w:val="3"/>
            <w:shd w:val="clear" w:color="auto" w:fill="0000EE"/>
          </w:tcPr>
          <w:p>
            <w:pPr>
              <w:spacing w:after="0" w:line="20" w:lineRule="exact"/>
              <w:rPr>
                <w:sz w:val="1"/>
                <w:szCs w:val="1"/>
                <w:color w:val="auto"/>
              </w:rPr>
            </w:pPr>
          </w:p>
        </w:tc>
        <w:tc>
          <w:tcPr>
            <w:tcW w:w="7040" w:type="dxa"/>
            <w:vAlign w:val="bottom"/>
            <w:gridSpan w:val="11"/>
          </w:tcPr>
          <w:p>
            <w:pPr>
              <w:spacing w:after="0" w:line="20" w:lineRule="exact"/>
              <w:rPr>
                <w:sz w:val="1"/>
                <w:szCs w:val="1"/>
                <w:color w:val="auto"/>
              </w:rPr>
            </w:pPr>
          </w:p>
        </w:tc>
      </w:tr>
      <w:tr>
        <w:trPr>
          <w:trHeight w:val="32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8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 embedded</w:t>
            </w:r>
          </w:p>
        </w:tc>
      </w:tr>
      <w:tr>
        <w:trPr>
          <w:trHeight w:val="234"/>
        </w:trPr>
        <w:tc>
          <w:tcPr>
            <w:tcW w:w="1100" w:type="dxa"/>
            <w:vAlign w:val="bottom"/>
          </w:tcPr>
          <w:p>
            <w:pPr>
              <w:spacing w:after="0"/>
              <w:rPr>
                <w:sz w:val="20"/>
                <w:szCs w:val="20"/>
                <w:color w:val="auto"/>
              </w:rPr>
            </w:pPr>
          </w:p>
        </w:tc>
        <w:tc>
          <w:tcPr>
            <w:tcW w:w="98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32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8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32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98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32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98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32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98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32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98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90" w:lineRule="exact"/>
        <w:rPr>
          <w:sz w:val="20"/>
          <w:szCs w:val="20"/>
          <w:color w:val="auto"/>
        </w:rPr>
      </w:pPr>
    </w:p>
    <w:p>
      <w:pPr>
        <w:ind w:left="5540" w:right="3340" w:hanging="5424"/>
        <w:spacing w:after="0" w:line="454" w:lineRule="auto"/>
        <w:tabs>
          <w:tab w:leader="none" w:pos="122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31</w:t>
      </w:r>
    </w:p>
    <w:p>
      <w:pPr>
        <w:sectPr>
          <w:pgSz w:w="11900" w:h="16838" w:orient="portrait"/>
          <w:cols w:equalWidth="0" w:num="1">
            <w:col w:w="11100"/>
          </w:cols>
          <w:pgMar w:left="320" w:top="482" w:right="4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 on this 13th day of August, 2025.</w:t>
      </w:r>
    </w:p>
    <w:p>
      <w:pPr>
        <w:spacing w:after="0" w:line="18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MASTECH DIGITAL, INC.</w:t>
      </w:r>
    </w:p>
    <w:p>
      <w:pPr>
        <w:spacing w:after="0" w:line="225" w:lineRule="exact"/>
        <w:rPr>
          <w:sz w:val="20"/>
          <w:szCs w:val="20"/>
          <w:color w:val="auto"/>
        </w:rPr>
      </w:pPr>
    </w:p>
    <w:p>
      <w:pPr>
        <w:ind w:left="120"/>
        <w:spacing w:after="0"/>
        <w:tabs>
          <w:tab w:leader="none" w:pos="7800" w:val="left"/>
        </w:tabs>
        <w:rPr>
          <w:sz w:val="20"/>
          <w:szCs w:val="20"/>
          <w:color w:val="auto"/>
        </w:rPr>
      </w:pPr>
      <w:r>
        <w:rPr>
          <w:rFonts w:ascii="Times New Roman" w:cs="Times New Roman" w:eastAsia="Times New Roman" w:hAnsi="Times New Roman"/>
          <w:sz w:val="18"/>
          <w:szCs w:val="18"/>
          <w:color w:val="auto"/>
        </w:rPr>
        <w:t>August 13, 2025</w:t>
      </w:r>
      <w:r>
        <w:rPr>
          <w:sz w:val="20"/>
          <w:szCs w:val="20"/>
          <w:color w:val="auto"/>
        </w:rPr>
        <w:tab/>
      </w:r>
      <w:r>
        <w:rPr>
          <w:rFonts w:ascii="Times New Roman" w:cs="Times New Roman" w:eastAsia="Times New Roman" w:hAnsi="Times New Roman"/>
          <w:sz w:val="16"/>
          <w:szCs w:val="16"/>
          <w:color w:val="auto"/>
        </w:rPr>
        <w:t>/s/   NIRAV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28295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2"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8"/>
          <w:szCs w:val="18"/>
          <w:b w:val="1"/>
          <w:bCs w:val="1"/>
          <w:color w:val="auto"/>
        </w:rPr>
        <w:t>Nirav Patel</w:t>
      </w:r>
    </w:p>
    <w:p>
      <w:pPr>
        <w:spacing w:after="0" w:line="31"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20"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/s/   KANNAN SUGANTHARAMAN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28295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12"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b w:val="1"/>
          <w:bCs w:val="1"/>
          <w:color w:val="auto"/>
        </w:rPr>
        <w:t>Kannan Sugantharaman</w:t>
      </w:r>
    </w:p>
    <w:p>
      <w:pPr>
        <w:spacing w:after="0" w:line="31"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00"/>
          </w:cols>
          <w:pgMar w:left="320" w:top="482" w:right="47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10.4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CONFIDENTIAL SEPARATION AGREEMENT AND GENERAL RELEASE</w:t>
      </w:r>
    </w:p>
    <w:p>
      <w:pPr>
        <w:spacing w:after="0" w:line="229"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THIS CONFIDENTIAL SEPARATION AGREEMENT AND GENERAL RELEASE (“Release”) is made and entered into by and among Mastech Digital, Inc., Mastech Digital Technologies, Inc., and the subsidiaries and affiliates of each (collectively, the “Company”), and </w:t>
      </w:r>
      <w:r>
        <w:rPr>
          <w:rFonts w:ascii="Times New Roman" w:cs="Times New Roman" w:eastAsia="Times New Roman" w:hAnsi="Times New Roman"/>
          <w:sz w:val="18"/>
          <w:szCs w:val="18"/>
          <w:b w:val="1"/>
          <w:bCs w:val="1"/>
          <w:color w:val="auto"/>
        </w:rPr>
        <w:t>John J. Cronin,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Jr. </w:t>
      </w:r>
      <w:r>
        <w:rPr>
          <w:rFonts w:ascii="Times New Roman" w:cs="Times New Roman" w:eastAsia="Times New Roman" w:hAnsi="Times New Roman"/>
          <w:sz w:val="18"/>
          <w:szCs w:val="18"/>
          <w:color w:val="auto"/>
        </w:rPr>
        <w:t>(“Executive”).</w:t>
      </w:r>
    </w:p>
    <w:p>
      <w:pPr>
        <w:spacing w:after="0" w:line="176"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WHEREAS, the Company and Executive wish to resolve any and all matters between them relating to Executive’s employment and termination from employment;</w:t>
      </w:r>
    </w:p>
    <w:p>
      <w:pPr>
        <w:spacing w:after="0" w:line="162" w:lineRule="exact"/>
        <w:rPr>
          <w:sz w:val="20"/>
          <w:szCs w:val="20"/>
          <w:color w:val="auto"/>
        </w:rPr>
      </w:pPr>
    </w:p>
    <w:p>
      <w:pPr>
        <w:ind w:right="280" w:firstLine="440"/>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mutual undertakings set forth below, this Release will resolve, finally and completely, any and all possible claims and disputes between the Company and Executive arising from such employment and the termination of that employment and, accordingly, the Company and Executive, each intending to be legally bound, hereby agree as follows:</w:t>
      </w:r>
    </w:p>
    <w:p>
      <w:pPr>
        <w:spacing w:after="0" w:line="68" w:lineRule="exact"/>
        <w:rPr>
          <w:sz w:val="20"/>
          <w:szCs w:val="20"/>
          <w:color w:val="auto"/>
        </w:rPr>
      </w:pPr>
    </w:p>
    <w:p>
      <w:pPr>
        <w:jc w:val="both"/>
        <w:ind w:right="360" w:firstLine="987"/>
        <w:spacing w:after="0" w:line="312" w:lineRule="auto"/>
        <w:tabs>
          <w:tab w:leader="none" w:pos="1171"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Executive’s employment with the Company terminated on May 30, 2025, (the “Termination Date”) without Cause, as defined in the Fourth Amended and Restated Employment Agreement signed on March 8, 2024, by Executive and the Company (the “</w:t>
      </w:r>
      <w:r>
        <w:rPr>
          <w:rFonts w:ascii="Times New Roman" w:cs="Times New Roman" w:eastAsia="Times New Roman" w:hAnsi="Times New Roman"/>
          <w:sz w:val="17"/>
          <w:szCs w:val="17"/>
          <w:u w:val="single" w:color="auto"/>
          <w:color w:val="auto"/>
        </w:rPr>
        <w:t>Employment Agreement</w:t>
      </w:r>
      <w:r>
        <w:rPr>
          <w:rFonts w:ascii="Times New Roman" w:cs="Times New Roman" w:eastAsia="Times New Roman" w:hAnsi="Times New Roman"/>
          <w:sz w:val="17"/>
          <w:szCs w:val="17"/>
          <w:color w:val="auto"/>
        </w:rPr>
        <w:t>”).</w:t>
      </w:r>
    </w:p>
    <w:p>
      <w:pPr>
        <w:spacing w:after="0" w:line="31" w:lineRule="exact"/>
        <w:rPr>
          <w:rFonts w:ascii="Times New Roman" w:cs="Times New Roman" w:eastAsia="Times New Roman" w:hAnsi="Times New Roman"/>
          <w:sz w:val="17"/>
          <w:szCs w:val="17"/>
          <w:color w:val="auto"/>
        </w:rPr>
      </w:pPr>
    </w:p>
    <w:p>
      <w:pPr>
        <w:ind w:right="220" w:firstLine="987"/>
        <w:spacing w:after="0" w:line="266" w:lineRule="auto"/>
        <w:tabs>
          <w:tab w:leader="none" w:pos="117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Except as provided in Paragraph 2(b) below, Executive shall have no further right to any salary, bonus or Executive benefits provided by the Company or any other Executive benefit plans of the Company. Executive agrees that the provisions of this Release and the payments under this Release do not extend Executive’s service or increase any amounts due him under the benefit plans of the Company.</w:t>
      </w:r>
    </w:p>
    <w:p>
      <w:pPr>
        <w:spacing w:after="0" w:line="67" w:lineRule="exact"/>
        <w:rPr>
          <w:rFonts w:ascii="Times New Roman" w:cs="Times New Roman" w:eastAsia="Times New Roman" w:hAnsi="Times New Roman"/>
          <w:sz w:val="18"/>
          <w:szCs w:val="18"/>
          <w:color w:val="auto"/>
        </w:rPr>
      </w:pPr>
    </w:p>
    <w:p>
      <w:pPr>
        <w:ind w:right="40" w:firstLine="1208"/>
        <w:spacing w:after="0" w:line="282" w:lineRule="auto"/>
        <w:tabs>
          <w:tab w:leader="none" w:pos="1466"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exchange for execution of this Release within sixty (60) days following the Termination Date, without revocation and pursuant to the terms of Executive’s Employment Agreement, Executive shall be entitled to:</w:t>
      </w:r>
    </w:p>
    <w:p>
      <w:pPr>
        <w:spacing w:after="0" w:line="53" w:lineRule="exact"/>
        <w:rPr>
          <w:rFonts w:ascii="Times New Roman" w:cs="Times New Roman" w:eastAsia="Times New Roman" w:hAnsi="Times New Roman"/>
          <w:sz w:val="18"/>
          <w:szCs w:val="18"/>
          <w:color w:val="auto"/>
        </w:rPr>
      </w:pPr>
    </w:p>
    <w:p>
      <w:pPr>
        <w:ind w:right="120" w:firstLine="1979"/>
        <w:spacing w:after="0" w:line="258" w:lineRule="auto"/>
        <w:tabs>
          <w:tab w:leader="none" w:pos="2198"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Twenty-four (24) months of Executive’s current monthly base salary, less appropriate deductions, divided into equal installments and paid on the Company’s regular payroll dates over a period of twenty-four (24) months commencing on the Severance Payment Commencement Date (as defined below), and any Severance Payment amounts that would otherwise have been paid prior to the Severance Payment Commencement Date shall be paid on the Severance Payment Commencement Date, and the remaining installments paid on succeeding regular payroll dates during such twenty-four (24) month period until paid in full;</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33" w:name="page34"/>
    <w:bookmarkEnd w:id="33"/>
    <w:p>
      <w:pPr>
        <w:ind w:left="2244" w:hanging="261"/>
        <w:spacing w:after="0"/>
        <w:tabs>
          <w:tab w:leader="none" w:pos="2244"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Two times (2x) Executive’s annual performance-based cash bonus target for the year 2024, less appropriate deductions,</w:t>
      </w:r>
    </w:p>
    <w:p>
      <w:pPr>
        <w:spacing w:after="0" w:line="27" w:lineRule="exact"/>
        <w:rPr>
          <w:rFonts w:ascii="Times New Roman" w:cs="Times New Roman" w:eastAsia="Times New Roman" w:hAnsi="Times New Roman"/>
          <w:sz w:val="18"/>
          <w:szCs w:val="18"/>
          <w:color w:val="auto"/>
        </w:rPr>
      </w:pPr>
    </w:p>
    <w:p>
      <w:pPr>
        <w:ind w:left="4" w:right="320" w:hanging="4"/>
        <w:spacing w:after="0" w:line="204" w:lineRule="auto"/>
        <w:tabs>
          <w:tab w:leader="none" w:pos="29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one-half of which is payable on the later of (x) the sixtieth (60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day following the Termination Date and (y) the Severance Payment Commencement Date (as defined below), and (B) the second-half of which is payable on the sixtieth (60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day following the first anniversary of the Termination Date (the payments under this paragraph (ii) and the payments under paragraph (i) above being referred to in the aggregate as the “</w:t>
      </w:r>
      <w:r>
        <w:rPr>
          <w:rFonts w:ascii="Times New Roman" w:cs="Times New Roman" w:eastAsia="Times New Roman" w:hAnsi="Times New Roman"/>
          <w:sz w:val="18"/>
          <w:szCs w:val="18"/>
          <w:u w:val="single" w:color="auto"/>
          <w:color w:val="auto"/>
        </w:rPr>
        <w:t>Severance Payments</w:t>
      </w:r>
      <w:r>
        <w:rPr>
          <w:rFonts w:ascii="Times New Roman" w:cs="Times New Roman" w:eastAsia="Times New Roman" w:hAnsi="Times New Roman"/>
          <w:sz w:val="18"/>
          <w:szCs w:val="18"/>
          <w:color w:val="auto"/>
        </w:rPr>
        <w:t>”);</w:t>
      </w:r>
    </w:p>
    <w:p>
      <w:pPr>
        <w:spacing w:after="0" w:line="93" w:lineRule="exact"/>
        <w:rPr>
          <w:rFonts w:ascii="Times New Roman" w:cs="Times New Roman" w:eastAsia="Times New Roman" w:hAnsi="Times New Roman"/>
          <w:sz w:val="18"/>
          <w:szCs w:val="18"/>
          <w:color w:val="auto"/>
        </w:rPr>
      </w:pPr>
    </w:p>
    <w:p>
      <w:pPr>
        <w:ind w:left="4" w:right="80" w:firstLine="1979"/>
        <w:spacing w:after="0" w:line="254" w:lineRule="auto"/>
        <w:tabs>
          <w:tab w:leader="none" w:pos="2302"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Executive timely elects continued health coverage under the Consolidated Omnibus Budget Reconciliation Act of 1985 (“COBRA”), continued coverage under Company’s medical benefit plan after the Termination Date for Executive and his eligible dependents under Company’s group health plans in accordance with and for as long as required under COBRA requirements (subject to payment of the applicable cost for such coverage as may be required by Company in accordance with COBRA). For any period COBRA coverage under Company’s group health plans is in effect for Executive and/or Executive’s qualified beneficiaries from the Termination Date until eighteen (18) months from the Termination Date, the Company shall pay, directly to the benefits provider, an amount equal to the excess of the Executive’s cost for COBRA coverage over the cost Executive would have paid for group health plan coverage as an active Executive of the Company. For avoidance of doubt, whether or not Executive signs this Release, Executive will separately receive information about continuing health coverage under COBRA, which Executive can do at Executive’s sole expense;</w:t>
      </w:r>
    </w:p>
    <w:p>
      <w:pPr>
        <w:spacing w:after="0" w:line="80" w:lineRule="exact"/>
        <w:rPr>
          <w:rFonts w:ascii="Times New Roman" w:cs="Times New Roman" w:eastAsia="Times New Roman" w:hAnsi="Times New Roman"/>
          <w:sz w:val="18"/>
          <w:szCs w:val="18"/>
          <w:color w:val="auto"/>
        </w:rPr>
      </w:pPr>
    </w:p>
    <w:p>
      <w:pPr>
        <w:ind w:left="4" w:right="640" w:firstLine="1979"/>
        <w:spacing w:after="0" w:line="282" w:lineRule="auto"/>
        <w:tabs>
          <w:tab w:leader="none" w:pos="2292"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period of twelve (12) months following the Termination Date, continued vesting of unvested stock options outstanding as of such Termination Date and granted under Company’s Stock Incentive Plan, or any successor thereto;</w:t>
      </w:r>
    </w:p>
    <w:p>
      <w:pPr>
        <w:spacing w:after="0" w:line="53" w:lineRule="exact"/>
        <w:rPr>
          <w:rFonts w:ascii="Times New Roman" w:cs="Times New Roman" w:eastAsia="Times New Roman" w:hAnsi="Times New Roman"/>
          <w:sz w:val="18"/>
          <w:szCs w:val="18"/>
          <w:color w:val="auto"/>
        </w:rPr>
      </w:pPr>
    </w:p>
    <w:p>
      <w:pPr>
        <w:jc w:val="both"/>
        <w:ind w:left="4" w:right="40" w:firstLine="1979"/>
        <w:spacing w:after="0" w:line="266" w:lineRule="auto"/>
        <w:tabs>
          <w:tab w:leader="none" w:pos="2242"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period for a vested Option, including those which vest pursuant to subpart (iv) above, will be extended for a period of eighteen (18) months after completion of all vesting, but not later than the earlier of (A) the original expiration date of such Option; or (B) ten (10) years from the date of grant; and</w:t>
      </w:r>
    </w:p>
    <w:p>
      <w:pPr>
        <w:spacing w:after="0" w:line="67" w:lineRule="exact"/>
        <w:rPr>
          <w:rFonts w:ascii="Times New Roman" w:cs="Times New Roman" w:eastAsia="Times New Roman" w:hAnsi="Times New Roman"/>
          <w:sz w:val="18"/>
          <w:szCs w:val="18"/>
          <w:color w:val="auto"/>
        </w:rPr>
      </w:pPr>
    </w:p>
    <w:p>
      <w:pPr>
        <w:ind w:left="4" w:firstLine="1979"/>
        <w:spacing w:after="0" w:line="261" w:lineRule="auto"/>
        <w:tabs>
          <w:tab w:leader="none" w:pos="2292"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Executive’s annual target bonus for the year 2025, based on Company’s 2025 annual results through December 31, 2025, (calculated as though Executive were still an employee) will be paid in accordance with the same percentage of bonus given to the Company’s Named Executive Officers, as determined by the Board of Directors, prorated considering the days in 2025 in which Executive was employed by Company divided by 365, less appropriate deductions, payable on March 15, 2026.</w:t>
      </w:r>
    </w:p>
    <w:p>
      <w:pPr>
        <w:spacing w:after="0" w:line="71" w:lineRule="exact"/>
        <w:rPr>
          <w:rFonts w:ascii="Times New Roman" w:cs="Times New Roman" w:eastAsia="Times New Roman" w:hAnsi="Times New Roman"/>
          <w:sz w:val="18"/>
          <w:szCs w:val="18"/>
          <w:color w:val="auto"/>
        </w:rPr>
      </w:pPr>
    </w:p>
    <w:p>
      <w:pPr>
        <w:ind w:left="4" w:right="100" w:firstLine="1428"/>
        <w:spacing w:after="0" w:line="266" w:lineRule="auto"/>
        <w:tabs>
          <w:tab w:leader="none" w:pos="1681"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paragraph (2)(b)(iii) above, the Severance Payments will commence or be made, as applicable, on the first reasonably practicable Company payroll date after the Release becomes effective (such commencement or payment date being referred to as the “</w:t>
      </w:r>
      <w:r>
        <w:rPr>
          <w:rFonts w:ascii="Times New Roman" w:cs="Times New Roman" w:eastAsia="Times New Roman" w:hAnsi="Times New Roman"/>
          <w:sz w:val="18"/>
          <w:szCs w:val="18"/>
          <w:u w:val="single" w:color="auto"/>
          <w:color w:val="auto"/>
        </w:rPr>
        <w:t>Severance Payment Commencement Date</w:t>
      </w:r>
      <w:r>
        <w:rPr>
          <w:rFonts w:ascii="Times New Roman" w:cs="Times New Roman" w:eastAsia="Times New Roman" w:hAnsi="Times New Roman"/>
          <w:sz w:val="18"/>
          <w:szCs w:val="18"/>
          <w:color w:val="auto"/>
        </w:rPr>
        <w:t>”).</w:t>
      </w:r>
    </w:p>
    <w:p>
      <w:pPr>
        <w:sectPr>
          <w:pgSz w:w="11900" w:h="16838" w:orient="portrait"/>
          <w:cols w:equalWidth="0" w:num="1">
            <w:col w:w="11004"/>
          </w:cols>
          <w:pgMar w:left="436" w:top="270" w:right="459" w:bottom="1440" w:gutter="0" w:footer="0" w:header="0"/>
        </w:sectPr>
      </w:pPr>
    </w:p>
    <w:bookmarkStart w:id="34" w:name="page35"/>
    <w:bookmarkEnd w:id="34"/>
    <w:p>
      <w:pPr>
        <w:jc w:val="both"/>
        <w:ind w:right="20" w:firstLine="1428"/>
        <w:spacing w:after="0" w:line="266" w:lineRule="auto"/>
        <w:tabs>
          <w:tab w:leader="none" w:pos="168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Included as part of Executive’s final salary payment is a lump sum payment equal to the amount of accrued and unused vacation that Executive is entitled to receive under the Company’s existing policies. Upon the termination of his employment, Executive will receive payment for accrued and unused vacation and personal days regardless of execution of the Release.</w:t>
      </w:r>
    </w:p>
    <w:p>
      <w:pPr>
        <w:spacing w:after="0" w:line="67" w:lineRule="exact"/>
        <w:rPr>
          <w:rFonts w:ascii="Times New Roman" w:cs="Times New Roman" w:eastAsia="Times New Roman" w:hAnsi="Times New Roman"/>
          <w:sz w:val="18"/>
          <w:szCs w:val="18"/>
          <w:color w:val="auto"/>
        </w:rPr>
      </w:pPr>
    </w:p>
    <w:p>
      <w:pPr>
        <w:ind w:firstLine="1428"/>
        <w:spacing w:after="0" w:line="253" w:lineRule="auto"/>
        <w:tabs>
          <w:tab w:leader="none" w:pos="167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payment or distribution by Company to or for the benefit of Executive, whether paid or payable or distributed or distributable pursuant to the terms of this Agreement or otherwise pursuant to or by reason of any other agreement, policy, plan, program or arrangement or the lapse or termination of any restriction on or the vesting or exercisability of any payment or benefit (each a “</w:t>
      </w: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would be subject to the excise tax imposed by Section 4999 of the Code (or any successor provision thereto) or to any similar tax imposed by state or local law (such tax or taxes are hereafter collectively referred to as the “</w:t>
      </w:r>
      <w:r>
        <w:rPr>
          <w:rFonts w:ascii="Times New Roman" w:cs="Times New Roman" w:eastAsia="Times New Roman" w:hAnsi="Times New Roman"/>
          <w:sz w:val="18"/>
          <w:szCs w:val="18"/>
          <w:u w:val="single" w:color="auto"/>
          <w:color w:val="auto"/>
        </w:rPr>
        <w:t>Excise Tax</w:t>
      </w:r>
      <w:r>
        <w:rPr>
          <w:rFonts w:ascii="Times New Roman" w:cs="Times New Roman" w:eastAsia="Times New Roman" w:hAnsi="Times New Roman"/>
          <w:sz w:val="18"/>
          <w:szCs w:val="18"/>
          <w:color w:val="auto"/>
        </w:rPr>
        <w:t>”), then the aggregate amount of Payments payable to Executive shall be reduced to the aggregate amount of Payments that may be made to Executive without incurring an excise tax (the “</w:t>
      </w:r>
      <w:r>
        <w:rPr>
          <w:rFonts w:ascii="Times New Roman" w:cs="Times New Roman" w:eastAsia="Times New Roman" w:hAnsi="Times New Roman"/>
          <w:sz w:val="18"/>
          <w:szCs w:val="18"/>
          <w:u w:val="single" w:color="auto"/>
          <w:color w:val="auto"/>
        </w:rPr>
        <w:t>Safe-Harbor Amount</w:t>
      </w:r>
      <w:r>
        <w:rPr>
          <w:rFonts w:ascii="Times New Roman" w:cs="Times New Roman" w:eastAsia="Times New Roman" w:hAnsi="Times New Roman"/>
          <w:sz w:val="18"/>
          <w:szCs w:val="18"/>
          <w:color w:val="auto"/>
        </w:rPr>
        <w:t>”) in accordance with the immediately following sentence; provided that such reduction shall only be imposed if the aggregate after-tax value of the Payments retained by Executive (after giving effect to such reduction) is equal to or greater than the aggregate after-tax value (after giving effect to the Excise Tax) of the Payments to Executive without any such reduction. Any such reduction shall be made in the following order: (i) first, any future cash payments (if any) shall be reduced (if necessary, to zero); (ii) second, any current cash payments shall be reduced (if necessary, to zero); (iii) third, all non-cash payments (other than equity or equity derivative related payments) shall be reduced (if necessary, to zero); and (iv) fourth, all equity or equity derivative payments shall be reduced.</w:t>
      </w:r>
    </w:p>
    <w:p>
      <w:pPr>
        <w:spacing w:after="0" w:line="190" w:lineRule="exact"/>
        <w:rPr>
          <w:sz w:val="20"/>
          <w:szCs w:val="20"/>
          <w:color w:val="auto"/>
        </w:rPr>
      </w:pPr>
    </w:p>
    <w:p>
      <w:pPr>
        <w:ind w:firstLine="1432"/>
        <w:spacing w:after="0" w:line="256" w:lineRule="auto"/>
        <w:rPr>
          <w:sz w:val="20"/>
          <w:szCs w:val="20"/>
          <w:color w:val="auto"/>
        </w:rPr>
      </w:pPr>
      <w:r>
        <w:rPr>
          <w:rFonts w:ascii="Times New Roman" w:cs="Times New Roman" w:eastAsia="Times New Roman" w:hAnsi="Times New Roman"/>
          <w:sz w:val="18"/>
          <w:szCs w:val="18"/>
          <w:color w:val="auto"/>
        </w:rPr>
        <w:t>The determinations to be made with respect to this subpart (e) shall be made by Company’s independent accountants, which shall be paid by Company for the services to be provided hereunder. For purposes of making the calculations required by this Paragraph, the accountants may make reasonable, good faith interpretations concerning the application of Code Sections 280G and 4999 and make reasonable assumptions regarding Executive’s marginal tax rate in effect for such parachute payments, including the effect of the deductibility of state and local taxes on such marginal tax rate. Executive and Company shall furnish to accountants such information and documents as the accountants may reasonably request in order to make a determination under this Paragraph.</w:t>
      </w:r>
    </w:p>
    <w:p>
      <w:pPr>
        <w:spacing w:after="0" w:line="187" w:lineRule="exact"/>
        <w:rPr>
          <w:sz w:val="20"/>
          <w:szCs w:val="20"/>
          <w:color w:val="auto"/>
        </w:rPr>
      </w:pPr>
    </w:p>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t>Company and Executive agree and acknowledge that the foregoing amounts and benefits exceed any payments to which Executive might otherwise be entitled under existing Company policies or practices in the absence of execution of this Release.</w:t>
      </w:r>
    </w:p>
    <w:p>
      <w:pPr>
        <w:sectPr>
          <w:pgSz w:w="11900" w:h="16838" w:orient="portrait"/>
          <w:cols w:equalWidth="0" w:num="1">
            <w:col w:w="11000"/>
          </w:cols>
          <w:pgMar w:left="440" w:top="270" w:right="459" w:bottom="1440" w:gutter="0" w:footer="0" w:header="0"/>
        </w:sectPr>
      </w:pPr>
    </w:p>
    <w:bookmarkStart w:id="35" w:name="page36"/>
    <w:bookmarkEnd w:id="35"/>
    <w:p>
      <w:pPr>
        <w:ind w:left="-987" w:right="60" w:firstLine="987"/>
        <w:spacing w:after="0" w:line="258" w:lineRule="auto"/>
        <w:tabs>
          <w:tab w:leader="none" w:pos="18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Release shall not constitute or be construed as an admission of any liability or wrongdoing by the Company. Executive expressly understands and agrees that by entering into this Release, Company in no way is admitting to having violated any of Executive’s rights or to having violated any of the duties or obligations owed Executive or to having engaged in any conduct in violation of the law. Company, in fact, affirmatively states that it treated Executive in full accord with the law at all times. Further, Executive understands and agrees that the Company will not be obligated in any way to provide him with future employment and Executive agrees not to seek any such employment or reemployment.</w:t>
      </w:r>
    </w:p>
    <w:p>
      <w:pPr>
        <w:spacing w:after="0" w:line="75" w:lineRule="exact"/>
        <w:rPr>
          <w:rFonts w:ascii="Times New Roman" w:cs="Times New Roman" w:eastAsia="Times New Roman" w:hAnsi="Times New Roman"/>
          <w:sz w:val="18"/>
          <w:szCs w:val="18"/>
          <w:color w:val="auto"/>
        </w:rPr>
      </w:pPr>
    </w:p>
    <w:p>
      <w:pPr>
        <w:ind w:left="-987" w:firstLine="987"/>
        <w:spacing w:after="0" w:line="251" w:lineRule="auto"/>
        <w:tabs>
          <w:tab w:leader="none" w:pos="18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on behalf of himself, his heirs, representatives, estates, dependents, executors, administrators, successors and assigns, hereby voluntarily, expressly, irrevocably and unconditionally releases and forever discharges the Company, and its and their, subsidiaries, related companies, predecessors, affiliates, successors and assigns, and its and their respective benefits plans, and their past, present and future officers, directors, trustees, administrators, agents, attorneys, employees, and representatives, as well as the heirs, successors or assigns of any of such persons or such entities (severally and collectively called “Releasees”), jointly and individually, from any and all manner of suits, actions, causes of action, demands, damages and claims, known and unknown, that Executive has or ever had or which he may have against any of the Releasees for any acts, practices or events up to and including the date he executes this Release, and the continuing effects thereof, it being the intention of Executive to effect a general release of all such claims. By executing this Release, Executive understands that he is releasing any and all claims under any possible legal, equitable, contract, tort or statutory theory, including but not limited to: (i) any and all claims arising from or relating to Executive’s employment with the Company and/or his termination from employment with the Company including, but not limited to, any and all claims for breach of the Company’s policies, rules, regulations, or handbooks or for breach of express or implied contracts or express or implied covenants of good faith, and any and all claims for wrongful discharge, defamation, slander, invasion of privacy, violation of public policy, retaliation, intentional or negligent infliction of emotional distress or any other personal injury; (ii) any and all claims for back pay, front pay, or for any kind of compensatory, special or consequential damages, punitive or liquidated damages, attorneys’ fees, costs, disbursements or expenses of any kind whatsoever; (iii) any and all claims arising under federal, state, or local constitutions, laws, rules, regulations or common law prohibiting employment discrimination based upon age, race, color, sex, religion, handicap or disability, national origin or any other protected category or characteristic, including, but not limited to, any and all claims arising under the Age Discrimination in Employment Act of 1967, as amended, the Older Workers Benefit Protection Act, Title VII of the Civil Rights Act of 1964, the Civil Rights Act of 1991, the Pennsylvania Human Rights Act, the Americans With Disabilities Act, the Civil Rights Acts of 1866 and 1871, the Pregnancy Discrimination Act, Section 1981, the Family and Medical Leave Act, the Executive Retirement Income Security Act of 1974 and/or under any other federal, state, or local human rights, civil rights, or employment discrimination statutes, ordinances, rules or regulations; and (iv) any and all other claims of any kind whatsoever that Executive has or may have against Releasees up to and including the Date he executes this Release. Notwithstanding anything in this Release to the contrary, Executive is not waiving any rights that, under the law, cannot be waived (including any rights to challenge the validity of this Release).</w:t>
      </w:r>
    </w:p>
    <w:p>
      <w:pPr>
        <w:sectPr>
          <w:pgSz w:w="11900" w:h="16838" w:orient="portrait"/>
          <w:cols w:equalWidth="0" w:num="1">
            <w:col w:w="9993"/>
          </w:cols>
          <w:pgMar w:left="1427" w:top="270" w:right="479" w:bottom="1440" w:gutter="0" w:footer="0" w:header="0"/>
        </w:sectPr>
      </w:pPr>
    </w:p>
    <w:bookmarkStart w:id="36" w:name="page37"/>
    <w:bookmarkEnd w:id="36"/>
    <w:p>
      <w:pPr>
        <w:ind w:left="-987" w:firstLine="987"/>
        <w:spacing w:after="0" w:line="266" w:lineRule="auto"/>
        <w:tabs>
          <w:tab w:leader="none" w:pos="18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Executive specifically releases all Releasees from any and all claims or causes of action for the fees, costs, expenses and interest of any and all attorneys who have at any time or are now representing Executive in connection with this Release and/or in connection with any matters released in this Release.</w:t>
      </w:r>
    </w:p>
    <w:p>
      <w:pPr>
        <w:spacing w:after="0" w:line="67" w:lineRule="exact"/>
        <w:rPr>
          <w:rFonts w:ascii="Times New Roman" w:cs="Times New Roman" w:eastAsia="Times New Roman" w:hAnsi="Times New Roman"/>
          <w:sz w:val="18"/>
          <w:szCs w:val="18"/>
          <w:color w:val="auto"/>
        </w:rPr>
      </w:pPr>
    </w:p>
    <w:p>
      <w:pPr>
        <w:ind w:left="-987" w:firstLine="987"/>
        <w:spacing w:after="0" w:line="253" w:lineRule="auto"/>
        <w:tabs>
          <w:tab w:leader="none" w:pos="18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acknowledges that he has been given the opportunity to consider this Release for at least twenty-one (21) days, which is a reasonable period of time, and that he has been advised to consult with an attorney prior to signing this Release. Executive further acknowledges that he has had a full and fair opportunity to confer with an attorney, that he has carefully read and fully understands all of the provisions of the Release, and that he has executed it of his own free will, act and deed without coercion and with knowledge of the nature and consequences thereof. If Executive executes this Release in less than twenty-one (21) days, he acknowledges that he has thereby waived his right to the full twenty-one (21) day period. For a period of seven (7) calendar days following the execution of this Release, Executive may revoke this Release by delivery of a written notice revoking the same within that seven (7) day period to the Company at Mastech Digital, Inc., 1305 Cherrington Parkway, Bldg. 210, Suite 400, Moon Township, PA 15108, Attention: Jenna Ford Lacey. This Release shall not become effective or enforceable until said seven (7) day revocation period has expired. The date of expiration of such revocation period is referred to herein as the Effective Date. Company shall have no obligation to pay any sums under paragraph 2(b) of this Release until eight (8) days after receipt of a fully executed copy of the Release.</w:t>
      </w:r>
    </w:p>
    <w:p>
      <w:pPr>
        <w:spacing w:after="0" w:line="86" w:lineRule="exact"/>
        <w:rPr>
          <w:rFonts w:ascii="Times New Roman" w:cs="Times New Roman" w:eastAsia="Times New Roman" w:hAnsi="Times New Roman"/>
          <w:sz w:val="18"/>
          <w:szCs w:val="18"/>
          <w:color w:val="auto"/>
        </w:rPr>
      </w:pPr>
    </w:p>
    <w:p>
      <w:pPr>
        <w:ind w:left="-987" w:firstLine="987"/>
        <w:spacing w:after="0" w:line="252" w:lineRule="auto"/>
        <w:tabs>
          <w:tab w:leader="none" w:pos="18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acknowledges that he was provided with, received, used and was exposed to confidential proprietary information and trade secrets relating to the Company (hereinafter referred to as “Trade Secrets and/or Confidential Information”). Executive agrees that the Company has a substantial business interest in the protection of its Trade Secrets and/or Confidential Information from disclosure and/or misuse and that the Company has a substantial business interest in the covenants set forth below. Executive, therefore, covenants and agrees that he shall not, without the written consent of a duly authorized executive officer of the Company, directly or indirectly use, disclose or disseminate to any other person, organization or entity or otherwise employ any Trade Secrets and/or Confidential Information of the Company for so long as the pertinent information or documentation remain Trade Secrets and/or Confidential Information; provided, however, that for purposes of this Release, Trade Secrets and/or Confidential Information shall not include any information known generally to the public (other than as a result of unauthorized disclosure by Executive) or any information of a type not otherwise considered confidential by persons engaged in the same business or a business similar to that conducted by the Company. Executive acknowledges and agrees that the ascertainment of damages in the event of his breach or violation of the restrictions set forth in Paragraph 7 of this Release would be difficult, if not impossible, and further that the various rights and duties created hereunder are extraordinary and unique so that upon breach by Executive of the duties and obligations provided hereunder, the Company will suffer irreparable injury for which it will have no meaningful remedy in law. Executive therefore agrees that, in addition to and without limiting any other remedy or right it may have, the Company shall be entitled to injunctive relief in order to enforce the provisions hereof.</w:t>
      </w:r>
    </w:p>
    <w:p>
      <w:pPr>
        <w:sectPr>
          <w:pgSz w:w="11900" w:h="16838" w:orient="portrait"/>
          <w:cols w:equalWidth="0" w:num="1">
            <w:col w:w="9993"/>
          </w:cols>
          <w:pgMar w:left="1427" w:top="270" w:right="479" w:bottom="1440" w:gutter="0" w:footer="0" w:header="0"/>
        </w:sectPr>
      </w:pPr>
    </w:p>
    <w:bookmarkStart w:id="37" w:name="page38"/>
    <w:bookmarkEnd w:id="37"/>
    <w:p>
      <w:pPr>
        <w:ind w:left="-987" w:firstLine="987"/>
        <w:spacing w:after="0" w:line="273" w:lineRule="auto"/>
        <w:tabs>
          <w:tab w:leader="none" w:pos="184"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Executive hereby confirms that he has returned to the Company all Company-issued credit cards and keys as well as computer software, files, manuals, letters, notes, records, drawings, notebooks, reports and any other documents and tangible items owned by the Company or which Executive obtained, prepared or acquired while he was employed with the Company or used or maintained in connection with conducting business for or on behalf of the Company, expressly including documents and tangible items containing confidential information about the Company, whether maintained at Executive’s office, his home or any other location. Notwithstanding, it is agreed the Executive may retain the laptop computer issued to him by the Company but that Executive has removed or destroyed any Company information from the laptop. Such information includes information in all forms, including electronic form. Executive will not disclose or make any further use, directly or indirectly, of any such Company information.</w:t>
      </w:r>
    </w:p>
    <w:p>
      <w:pPr>
        <w:spacing w:after="0" w:line="63" w:lineRule="exact"/>
        <w:rPr>
          <w:rFonts w:ascii="Times New Roman" w:cs="Times New Roman" w:eastAsia="Times New Roman" w:hAnsi="Times New Roman"/>
          <w:sz w:val="17"/>
          <w:szCs w:val="17"/>
          <w:color w:val="auto"/>
        </w:rPr>
      </w:pPr>
    </w:p>
    <w:p>
      <w:pPr>
        <w:ind w:left="173" w:hanging="173"/>
        <w:spacing w:after="0"/>
        <w:tabs>
          <w:tab w:leader="none" w:pos="17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agrees and acknowledges that there are no outstanding expense reimbursements due to him.</w:t>
      </w:r>
    </w:p>
    <w:p>
      <w:pPr>
        <w:spacing w:after="0" w:line="117" w:lineRule="exact"/>
        <w:rPr>
          <w:rFonts w:ascii="Times New Roman" w:cs="Times New Roman" w:eastAsia="Times New Roman" w:hAnsi="Times New Roman"/>
          <w:sz w:val="18"/>
          <w:szCs w:val="18"/>
          <w:color w:val="auto"/>
        </w:rPr>
      </w:pPr>
    </w:p>
    <w:p>
      <w:pPr>
        <w:ind w:left="-987" w:right="40" w:firstLine="987"/>
        <w:spacing w:after="0" w:line="282" w:lineRule="auto"/>
        <w:tabs>
          <w:tab w:leader="none" w:pos="27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Except as otherwise required by law, Executive agrees to refrain from directly or indirectly engaging in publicity or any other action or activity which reflects adversely upon the Company, its Board of Directors, officers, agents and business, including any successor or affiliate.</w:t>
      </w:r>
    </w:p>
    <w:p>
      <w:pPr>
        <w:spacing w:after="0" w:line="53" w:lineRule="exact"/>
        <w:rPr>
          <w:rFonts w:ascii="Times New Roman" w:cs="Times New Roman" w:eastAsia="Times New Roman" w:hAnsi="Times New Roman"/>
          <w:sz w:val="18"/>
          <w:szCs w:val="18"/>
          <w:color w:val="auto"/>
        </w:rPr>
      </w:pPr>
    </w:p>
    <w:p>
      <w:pPr>
        <w:ind w:left="-987" w:right="20" w:firstLine="1318"/>
        <w:spacing w:after="0" w:line="261" w:lineRule="auto"/>
        <w:tabs>
          <w:tab w:leader="none" w:pos="51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required by law, Executive agrees to keep confidential and not disclose the terms of this Release to any person, with the exception of his spouse, attorneys or tax professionals consulted by Executive to understand he interpretation, application, or legal or financial effect of this Release or to implement any portion of it with those persons to pledge to strictly maintain such confidentiality before Executive shares such information with them.</w:t>
      </w:r>
    </w:p>
    <w:p>
      <w:pPr>
        <w:spacing w:after="0" w:line="71" w:lineRule="exact"/>
        <w:rPr>
          <w:rFonts w:ascii="Times New Roman" w:cs="Times New Roman" w:eastAsia="Times New Roman" w:hAnsi="Times New Roman"/>
          <w:sz w:val="18"/>
          <w:szCs w:val="18"/>
          <w:color w:val="auto"/>
        </w:rPr>
      </w:pPr>
    </w:p>
    <w:p>
      <w:pPr>
        <w:ind w:left="-987" w:right="360" w:firstLine="987"/>
        <w:spacing w:after="0" w:line="282" w:lineRule="auto"/>
        <w:tabs>
          <w:tab w:leader="none" w:pos="26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the provisions of this Release are determined to be invalid or unenforceable for any reason, the remaining provisions and portions of this Release shall be unaffected thereby and shall remain in full force to the fullest extent permitted by law.</w:t>
      </w:r>
    </w:p>
    <w:p>
      <w:pPr>
        <w:sectPr>
          <w:pgSz w:w="11900" w:h="16838" w:orient="portrait"/>
          <w:cols w:equalWidth="0" w:num="1">
            <w:col w:w="9993"/>
          </w:cols>
          <w:pgMar w:left="1427" w:top="270" w:right="479" w:bottom="1440" w:gutter="0" w:footer="0" w:header="0"/>
        </w:sectPr>
      </w:pPr>
    </w:p>
    <w:bookmarkStart w:id="38" w:name="page39"/>
    <w:bookmarkEnd w:id="38"/>
    <w:p>
      <w:pPr>
        <w:ind w:left="-20" w:right="100" w:firstLine="987"/>
        <w:spacing w:after="0" w:line="282" w:lineRule="auto"/>
        <w:tabs>
          <w:tab w:leader="none" w:pos="124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Executive and the Company agree that the language of all parts of this Release shall in all cases be construed as a whole, according to the fair meaning, and not strictly for or against any party.</w:t>
      </w:r>
    </w:p>
    <w:p>
      <w:pPr>
        <w:spacing w:after="0" w:line="53" w:lineRule="exact"/>
        <w:rPr>
          <w:rFonts w:ascii="Times New Roman" w:cs="Times New Roman" w:eastAsia="Times New Roman" w:hAnsi="Times New Roman"/>
          <w:sz w:val="18"/>
          <w:szCs w:val="18"/>
          <w:color w:val="auto"/>
        </w:rPr>
      </w:pPr>
    </w:p>
    <w:p>
      <w:pPr>
        <w:ind w:left="-20" w:firstLine="987"/>
        <w:spacing w:after="0" w:line="261" w:lineRule="auto"/>
        <w:tabs>
          <w:tab w:leader="none" w:pos="124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and the Company understand, covenant and agree that the terms and conditions of this Release constitute the full and complete understandings, agreements and arrangements of the parties with respect to the subject matter hereto. Executive and the Company understand, covenant and agree that the post-termination obligations in the Employment Agreement shall continue post-employment and in full force and effect, and are incorporated herein by reference.</w:t>
      </w:r>
    </w:p>
    <w:p>
      <w:pPr>
        <w:spacing w:after="0" w:line="71" w:lineRule="exact"/>
        <w:rPr>
          <w:rFonts w:ascii="Times New Roman" w:cs="Times New Roman" w:eastAsia="Times New Roman" w:hAnsi="Times New Roman"/>
          <w:sz w:val="18"/>
          <w:szCs w:val="18"/>
          <w:color w:val="auto"/>
        </w:rPr>
      </w:pPr>
    </w:p>
    <w:p>
      <w:pPr>
        <w:jc w:val="both"/>
        <w:ind w:left="-20" w:firstLine="987"/>
        <w:spacing w:after="0" w:line="266" w:lineRule="auto"/>
        <w:tabs>
          <w:tab w:leader="none" w:pos="124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Release shall be governed by and construed in accordance with the laws of the Commonwealth of Pennsylvania without regard to its conflicts of law principles. This Release shall be binding upon, and inure to the benefit of, the parties hereto and their respective heirs, successors and permitted assigns. It shall not be construed against either party.</w:t>
      </w:r>
    </w:p>
    <w:p>
      <w:pPr>
        <w:spacing w:after="0" w:line="67" w:lineRule="exact"/>
        <w:rPr>
          <w:rFonts w:ascii="Times New Roman" w:cs="Times New Roman" w:eastAsia="Times New Roman" w:hAnsi="Times New Roman"/>
          <w:sz w:val="18"/>
          <w:szCs w:val="18"/>
          <w:color w:val="auto"/>
        </w:rPr>
      </w:pPr>
    </w:p>
    <w:p>
      <w:pPr>
        <w:ind w:left="1240" w:hanging="273"/>
        <w:spacing w:after="0"/>
        <w:tabs>
          <w:tab w:leader="none" w:pos="12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shall make no assignment of any released claims, and he hereby warrants that no such assignment has been made.</w:t>
      </w:r>
    </w:p>
    <w:p>
      <w:pPr>
        <w:spacing w:after="0" w:line="117" w:lineRule="exact"/>
        <w:rPr>
          <w:rFonts w:ascii="Times New Roman" w:cs="Times New Roman" w:eastAsia="Times New Roman" w:hAnsi="Times New Roman"/>
          <w:sz w:val="18"/>
          <w:szCs w:val="18"/>
          <w:color w:val="auto"/>
        </w:rPr>
      </w:pPr>
    </w:p>
    <w:p>
      <w:pPr>
        <w:ind w:left="-20" w:right="20" w:firstLine="987"/>
        <w:spacing w:after="0" w:line="258" w:lineRule="auto"/>
        <w:tabs>
          <w:tab w:leader="none" w:pos="124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such party’s legally protected rights to communicate with governmental bodies and agencies and to engage in any legally protected activity under any applicable law, each party hereto agrees not to make any disparaging statements concerning the other party hereto or, as applicable, such other party’s employees, officers, directors, services, products, business relationships, operations or reputation. This non-disparagement obligation expressly includes statements made on the internet (including, but not limited to, social networking websites such as Facebook, X, and LinkedIn) and statements made under a pseudonym.</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ectPr>
          <w:pgSz w:w="11900" w:h="16838" w:orient="portrait"/>
          <w:cols w:equalWidth="0" w:num="1">
            <w:col w:w="10960"/>
          </w:cols>
          <w:pgMar w:left="460" w:top="270" w:right="479" w:bottom="1440" w:gutter="0" w:footer="0" w:header="0"/>
        </w:sectPr>
      </w:pPr>
    </w:p>
    <w:bookmarkStart w:id="39" w:name="page40"/>
    <w:bookmarkEnd w:id="39"/>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undersigned parties, having read this Confidential Separation Agreement and General Release, and intending to be legally bound thereby, have caused this Confidential Separation Agreement and General Release to be executed as of the date set forth below.</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48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EXECUTIVE:</w:t>
            </w:r>
          </w:p>
        </w:tc>
      </w:tr>
      <w:tr>
        <w:trPr>
          <w:trHeight w:val="20"/>
        </w:trPr>
        <w:tc>
          <w:tcPr>
            <w:tcW w:w="7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453"/>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2780" w:type="dxa"/>
            <w:vAlign w:val="bottom"/>
          </w:tcPr>
          <w:p>
            <w:pPr>
              <w:jc w:val="right"/>
              <w:ind w:right="1990"/>
              <w:spacing w:after="0"/>
              <w:rPr>
                <w:sz w:val="20"/>
                <w:szCs w:val="20"/>
                <w:color w:val="auto"/>
              </w:rPr>
            </w:pPr>
            <w:r>
              <w:rPr>
                <w:rFonts w:ascii="Times New Roman" w:cs="Times New Roman" w:eastAsia="Times New Roman" w:hAnsi="Times New Roman"/>
                <w:sz w:val="18"/>
                <w:szCs w:val="18"/>
                <w:color w:val="auto"/>
              </w:rPr>
              <w:t>6/19/25</w:t>
            </w:r>
          </w:p>
        </w:tc>
        <w:tc>
          <w:tcPr>
            <w:tcW w:w="308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        By:</w:t>
            </w:r>
          </w:p>
        </w:tc>
        <w:tc>
          <w:tcPr>
            <w:tcW w:w="44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John J. Cronin, Jr.</w:t>
            </w:r>
          </w:p>
        </w:tc>
      </w:tr>
      <w:tr>
        <w:trPr>
          <w:trHeight w:val="228"/>
        </w:trPr>
        <w:tc>
          <w:tcPr>
            <w:tcW w:w="76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48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John J. Cronin, Jr.</w:t>
            </w:r>
          </w:p>
        </w:tc>
      </w:tr>
      <w:tr>
        <w:trPr>
          <w:trHeight w:val="387"/>
        </w:trPr>
        <w:tc>
          <w:tcPr>
            <w:tcW w:w="7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48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MASTECH DIGITAL, INC.:</w:t>
            </w:r>
          </w:p>
        </w:tc>
      </w:tr>
      <w:tr>
        <w:trPr>
          <w:trHeight w:val="453"/>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2780" w:type="dxa"/>
            <w:vAlign w:val="bottom"/>
          </w:tcPr>
          <w:p>
            <w:pPr>
              <w:jc w:val="right"/>
              <w:ind w:right="1990"/>
              <w:spacing w:after="0"/>
              <w:rPr>
                <w:sz w:val="20"/>
                <w:szCs w:val="20"/>
                <w:color w:val="auto"/>
              </w:rPr>
            </w:pPr>
            <w:r>
              <w:rPr>
                <w:rFonts w:ascii="Times New Roman" w:cs="Times New Roman" w:eastAsia="Times New Roman" w:hAnsi="Times New Roman"/>
                <w:sz w:val="18"/>
                <w:szCs w:val="18"/>
                <w:color w:val="auto"/>
              </w:rPr>
              <w:t>6/18/25</w:t>
            </w:r>
          </w:p>
        </w:tc>
        <w:tc>
          <w:tcPr>
            <w:tcW w:w="2640" w:type="dxa"/>
            <w:vAlign w:val="bottom"/>
          </w:tcPr>
          <w:p>
            <w:pPr>
              <w:spacing w:after="0"/>
              <w:rPr>
                <w:sz w:val="24"/>
                <w:szCs w:val="24"/>
                <w:color w:val="auto"/>
              </w:rPr>
            </w:pPr>
          </w:p>
        </w:tc>
        <w:tc>
          <w:tcPr>
            <w:tcW w:w="4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By:</w:t>
            </w:r>
          </w:p>
        </w:tc>
        <w:tc>
          <w:tcPr>
            <w:tcW w:w="174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Jennifer Ford Lacey</w:t>
            </w:r>
          </w:p>
        </w:tc>
        <w:tc>
          <w:tcPr>
            <w:tcW w:w="2660" w:type="dxa"/>
            <w:vAlign w:val="bottom"/>
            <w:tcBorders>
              <w:bottom w:val="single" w:sz="8" w:color="auto"/>
            </w:tcBorders>
          </w:tcPr>
          <w:p>
            <w:pPr>
              <w:spacing w:after="0"/>
              <w:rPr>
                <w:sz w:val="24"/>
                <w:szCs w:val="24"/>
                <w:color w:val="auto"/>
              </w:rPr>
            </w:pPr>
          </w:p>
        </w:tc>
      </w:tr>
      <w:tr>
        <w:trPr>
          <w:trHeight w:val="205"/>
        </w:trPr>
        <w:tc>
          <w:tcPr>
            <w:tcW w:w="76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4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w w:val="87"/>
              </w:rPr>
              <w:t>Name:</w:t>
            </w:r>
          </w:p>
        </w:tc>
        <w:tc>
          <w:tcPr>
            <w:tcW w:w="4400" w:type="dxa"/>
            <w:vAlign w:val="bottom"/>
            <w:gridSpan w:val="3"/>
          </w:tcPr>
          <w:p>
            <w:pPr>
              <w:ind w:left="80"/>
              <w:spacing w:after="0" w:line="205" w:lineRule="exact"/>
              <w:rPr>
                <w:sz w:val="20"/>
                <w:szCs w:val="20"/>
                <w:color w:val="auto"/>
              </w:rPr>
            </w:pPr>
            <w:r>
              <w:rPr>
                <w:rFonts w:ascii="Times New Roman" w:cs="Times New Roman" w:eastAsia="Times New Roman" w:hAnsi="Times New Roman"/>
                <w:sz w:val="18"/>
                <w:szCs w:val="18"/>
                <w:color w:val="auto"/>
              </w:rPr>
              <w:t>Jennifer Ford Lacey</w:t>
            </w:r>
          </w:p>
        </w:tc>
      </w:tr>
      <w:tr>
        <w:trPr>
          <w:trHeight w:val="234"/>
        </w:trPr>
        <w:tc>
          <w:tcPr>
            <w:tcW w:w="76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48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Title: General Counsel</w:t>
            </w:r>
          </w:p>
        </w:tc>
      </w:tr>
    </w:tbl>
    <w:p>
      <w:pPr>
        <w:spacing w:after="0" w:line="19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u w:val="single" w:color="auto"/>
          <w:color w:val="auto"/>
        </w:rPr>
        <w:t>MASTECH DIGITAL TECHNOLOGIES, INC.</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spacing w:after="0"/>
        <w:tabs>
          <w:tab w:leader="none" w:pos="880" w:val="left"/>
          <w:tab w:leader="none" w:pos="6160" w:val="left"/>
          <w:tab w:leader="none" w:pos="6600" w:val="left"/>
        </w:tabs>
        <w:rPr>
          <w:sz w:val="20"/>
          <w:szCs w:val="20"/>
          <w:color w:val="auto"/>
        </w:rPr>
      </w:pPr>
      <w:r>
        <w:rPr>
          <w:rFonts w:ascii="Times New Roman" w:cs="Times New Roman" w:eastAsia="Times New Roman" w:hAnsi="Times New Roman"/>
          <w:sz w:val="18"/>
          <w:szCs w:val="18"/>
          <w:color w:val="auto"/>
        </w:rPr>
        <w:t>DATED:</w:t>
        <w:tab/>
        <w:t>6/18/25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Jennifer Ford Lacey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Jennifer Ford Lacey</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General Counsel</w:t>
      </w:r>
    </w:p>
    <w:p>
      <w:pPr>
        <w:sectPr>
          <w:pgSz w:w="11900" w:h="16838" w:orient="portrait"/>
          <w:cols w:equalWidth="0" w:num="1">
            <w:col w:w="11020"/>
          </w:cols>
          <w:pgMar w:left="440" w:top="270" w:right="4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1704"/>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the Sarbanes-Oxley Act of 2002 by Chief Executive Officer</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 Nirav Patel, certify that:</w:t>
      </w:r>
    </w:p>
    <w:p>
      <w:pPr>
        <w:spacing w:after="0" w:line="131" w:lineRule="exact"/>
        <w:rPr>
          <w:sz w:val="20"/>
          <w:szCs w:val="20"/>
          <w:color w:val="auto"/>
        </w:rPr>
      </w:pPr>
    </w:p>
    <w:p>
      <w:pPr>
        <w:ind w:left="424" w:hanging="424"/>
        <w:spacing w:after="0"/>
        <w:tabs>
          <w:tab w:leader="none" w:pos="42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Mastech Digital, Inc.;</w:t>
      </w:r>
    </w:p>
    <w:p>
      <w:pPr>
        <w:spacing w:after="0" w:line="130" w:lineRule="exact"/>
        <w:rPr>
          <w:rFonts w:ascii="Times New Roman" w:cs="Times New Roman" w:eastAsia="Times New Roman" w:hAnsi="Times New Roman"/>
          <w:sz w:val="18"/>
          <w:szCs w:val="18"/>
          <w:color w:val="auto"/>
        </w:rPr>
      </w:pPr>
    </w:p>
    <w:p>
      <w:pPr>
        <w:jc w:val="both"/>
        <w:ind w:left="424" w:right="120" w:hanging="424"/>
        <w:spacing w:after="0" w:line="266" w:lineRule="auto"/>
        <w:tabs>
          <w:tab w:leader="none" w:pos="42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424" w:right="80" w:hanging="424"/>
        <w:spacing w:after="0" w:line="282" w:lineRule="auto"/>
        <w:tabs>
          <w:tab w:leader="none" w:pos="42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424" w:right="320" w:hanging="424"/>
        <w:spacing w:after="0" w:line="266" w:lineRule="auto"/>
        <w:tabs>
          <w:tab w:leader="none" w:pos="42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1" w:lineRule="exact"/>
        <w:rPr>
          <w:rFonts w:ascii="Times New Roman" w:cs="Times New Roman" w:eastAsia="Times New Roman" w:hAnsi="Times New Roman"/>
          <w:sz w:val="18"/>
          <w:szCs w:val="18"/>
          <w:color w:val="auto"/>
        </w:rPr>
      </w:pPr>
    </w:p>
    <w:p>
      <w:pPr>
        <w:ind w:left="964" w:right="20" w:hanging="532"/>
        <w:spacing w:after="0" w:line="266" w:lineRule="auto"/>
        <w:tabs>
          <w:tab w:leader="none" w:pos="96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964" w:right="160" w:hanging="532"/>
        <w:spacing w:after="0" w:line="266" w:lineRule="auto"/>
        <w:tabs>
          <w:tab w:leader="none" w:pos="96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jc w:val="both"/>
        <w:ind w:left="964" w:right="320" w:hanging="532"/>
        <w:spacing w:after="0" w:line="282" w:lineRule="auto"/>
        <w:tabs>
          <w:tab w:leader="none" w:pos="96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964" w:right="60" w:hanging="532"/>
        <w:spacing w:after="0" w:line="266" w:lineRule="auto"/>
        <w:tabs>
          <w:tab w:leader="none" w:pos="96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case of the annual report)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8"/>
          <w:szCs w:val="18"/>
          <w:color w:val="auto"/>
        </w:rPr>
      </w:pPr>
    </w:p>
    <w:p>
      <w:pPr>
        <w:ind w:left="424" w:right="20" w:hanging="424"/>
        <w:spacing w:after="0" w:line="282" w:lineRule="auto"/>
        <w:tabs>
          <w:tab w:leader="none" w:pos="42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964" w:right="560" w:hanging="532"/>
        <w:spacing w:after="0" w:line="282" w:lineRule="auto"/>
        <w:tabs>
          <w:tab w:leader="none" w:pos="96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964" w:right="260" w:hanging="532"/>
        <w:spacing w:after="0" w:line="282" w:lineRule="auto"/>
        <w:tabs>
          <w:tab w:leader="none" w:pos="96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5744"/>
        <w:spacing w:after="0"/>
        <w:tabs>
          <w:tab w:leader="none" w:pos="6044" w:val="left"/>
        </w:tabs>
        <w:rPr>
          <w:sz w:val="20"/>
          <w:szCs w:val="20"/>
          <w:color w:val="auto"/>
        </w:rPr>
      </w:pPr>
      <w:r>
        <w:rPr>
          <w:rFonts w:ascii="Times New Roman" w:cs="Times New Roman" w:eastAsia="Times New Roman" w:hAnsi="Times New Roman"/>
          <w:sz w:val="18"/>
          <w:szCs w:val="18"/>
          <w:color w:val="auto"/>
        </w:rPr>
        <w:t> </w:t>
        <w:tab/>
        <w:t>MASTECH DIGITAL, INC.</w:t>
      </w:r>
    </w:p>
    <w:p>
      <w:pPr>
        <w:spacing w:after="0" w:line="225" w:lineRule="exact"/>
        <w:rPr>
          <w:sz w:val="20"/>
          <w:szCs w:val="20"/>
          <w:color w:val="auto"/>
        </w:rPr>
      </w:pPr>
    </w:p>
    <w:p>
      <w:pPr>
        <w:ind w:left="4"/>
        <w:spacing w:after="0"/>
        <w:tabs>
          <w:tab w:leader="none" w:pos="6044" w:val="left"/>
        </w:tabs>
        <w:rPr>
          <w:sz w:val="20"/>
          <w:szCs w:val="20"/>
          <w:color w:val="auto"/>
        </w:rPr>
      </w:pPr>
      <w:r>
        <w:rPr>
          <w:rFonts w:ascii="Times New Roman" w:cs="Times New Roman" w:eastAsia="Times New Roman" w:hAnsi="Times New Roman"/>
          <w:sz w:val="18"/>
          <w:szCs w:val="18"/>
          <w:color w:val="auto"/>
        </w:rPr>
        <w:t>Date: August 13, 2025</w:t>
      </w:r>
      <w:r>
        <w:rPr>
          <w:sz w:val="20"/>
          <w:szCs w:val="20"/>
          <w:color w:val="auto"/>
        </w:rPr>
        <w:tab/>
      </w:r>
      <w:r>
        <w:rPr>
          <w:rFonts w:ascii="Times New Roman" w:cs="Times New Roman" w:eastAsia="Times New Roman" w:hAnsi="Times New Roman"/>
          <w:sz w:val="17"/>
          <w:szCs w:val="17"/>
          <w:color w:val="auto"/>
        </w:rPr>
        <w:t>/S/ NIRAV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3848735</wp:posOffset>
            </wp:positionH>
            <wp:positionV relativeFrom="paragraph">
              <wp:posOffset>17145</wp:posOffset>
            </wp:positionV>
            <wp:extent cx="314579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2" w:lineRule="exact"/>
        <w:rPr>
          <w:sz w:val="20"/>
          <w:szCs w:val="20"/>
          <w:color w:val="auto"/>
        </w:rPr>
      </w:pPr>
    </w:p>
    <w:p>
      <w:pPr>
        <w:ind w:left="6064"/>
        <w:spacing w:after="0"/>
        <w:rPr>
          <w:sz w:val="20"/>
          <w:szCs w:val="20"/>
          <w:color w:val="auto"/>
        </w:rPr>
      </w:pPr>
      <w:r>
        <w:rPr>
          <w:rFonts w:ascii="Times New Roman" w:cs="Times New Roman" w:eastAsia="Times New Roman" w:hAnsi="Times New Roman"/>
          <w:sz w:val="18"/>
          <w:szCs w:val="18"/>
          <w:b w:val="1"/>
          <w:bCs w:val="1"/>
          <w:color w:val="auto"/>
        </w:rPr>
        <w:t>Nirav Patel</w:t>
      </w:r>
    </w:p>
    <w:p>
      <w:pPr>
        <w:spacing w:after="0" w:line="31" w:lineRule="exact"/>
        <w:rPr>
          <w:sz w:val="20"/>
          <w:szCs w:val="20"/>
          <w:color w:val="auto"/>
        </w:rPr>
      </w:pPr>
    </w:p>
    <w:p>
      <w:pPr>
        <w:ind w:left="6064"/>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ectPr>
          <w:pgSz w:w="11900" w:h="16838" w:orient="portrait"/>
          <w:cols w:equalWidth="0" w:num="1">
            <w:col w:w="11024"/>
          </w:cols>
          <w:pgMar w:left="436" w:top="117" w:right="4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left="1724"/>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the Sarbanes-Oxley Act of 2002 by Chief Financial Officer</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 Kannan Sugantharaman, certify that:</w:t>
      </w:r>
    </w:p>
    <w:p>
      <w:pPr>
        <w:spacing w:after="0" w:line="131" w:lineRule="exact"/>
        <w:rPr>
          <w:sz w:val="20"/>
          <w:szCs w:val="20"/>
          <w:color w:val="auto"/>
        </w:rPr>
      </w:pPr>
    </w:p>
    <w:p>
      <w:pPr>
        <w:ind w:left="424" w:hanging="424"/>
        <w:spacing w:after="0"/>
        <w:tabs>
          <w:tab w:leader="none" w:pos="42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Mastech Digital, Inc.;</w:t>
      </w:r>
    </w:p>
    <w:p>
      <w:pPr>
        <w:spacing w:after="0" w:line="130" w:lineRule="exact"/>
        <w:rPr>
          <w:rFonts w:ascii="Times New Roman" w:cs="Times New Roman" w:eastAsia="Times New Roman" w:hAnsi="Times New Roman"/>
          <w:sz w:val="18"/>
          <w:szCs w:val="18"/>
          <w:color w:val="auto"/>
        </w:rPr>
      </w:pPr>
    </w:p>
    <w:p>
      <w:pPr>
        <w:jc w:val="both"/>
        <w:ind w:left="424" w:right="120" w:hanging="424"/>
        <w:spacing w:after="0" w:line="266" w:lineRule="auto"/>
        <w:tabs>
          <w:tab w:leader="none" w:pos="42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424" w:right="80" w:hanging="424"/>
        <w:spacing w:after="0" w:line="282" w:lineRule="auto"/>
        <w:tabs>
          <w:tab w:leader="none" w:pos="42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424" w:right="320" w:hanging="424"/>
        <w:spacing w:after="0" w:line="266" w:lineRule="auto"/>
        <w:tabs>
          <w:tab w:leader="none" w:pos="42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1" w:lineRule="exact"/>
        <w:rPr>
          <w:rFonts w:ascii="Times New Roman" w:cs="Times New Roman" w:eastAsia="Times New Roman" w:hAnsi="Times New Roman"/>
          <w:sz w:val="18"/>
          <w:szCs w:val="18"/>
          <w:color w:val="auto"/>
        </w:rPr>
      </w:pPr>
    </w:p>
    <w:p>
      <w:pPr>
        <w:ind w:left="964" w:right="20" w:hanging="532"/>
        <w:spacing w:after="0" w:line="266" w:lineRule="auto"/>
        <w:tabs>
          <w:tab w:leader="none" w:pos="964"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964" w:right="160" w:hanging="532"/>
        <w:spacing w:after="0" w:line="266" w:lineRule="auto"/>
        <w:tabs>
          <w:tab w:leader="none" w:pos="964"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jc w:val="both"/>
        <w:ind w:left="964" w:right="320" w:hanging="532"/>
        <w:spacing w:after="0" w:line="282" w:lineRule="auto"/>
        <w:tabs>
          <w:tab w:leader="none" w:pos="964"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964" w:right="60" w:hanging="532"/>
        <w:spacing w:after="0" w:line="266" w:lineRule="auto"/>
        <w:tabs>
          <w:tab w:leader="none" w:pos="964"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case of the annual report)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8"/>
          <w:szCs w:val="18"/>
          <w:color w:val="auto"/>
        </w:rPr>
      </w:pPr>
    </w:p>
    <w:p>
      <w:pPr>
        <w:ind w:left="424" w:right="20" w:hanging="424"/>
        <w:spacing w:after="0" w:line="282" w:lineRule="auto"/>
        <w:tabs>
          <w:tab w:leader="none" w:pos="42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964" w:right="560" w:hanging="532"/>
        <w:spacing w:after="0" w:line="282" w:lineRule="auto"/>
        <w:tabs>
          <w:tab w:leader="none" w:pos="964"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964" w:right="260" w:hanging="532"/>
        <w:spacing w:after="0" w:line="282" w:lineRule="auto"/>
        <w:tabs>
          <w:tab w:leader="none" w:pos="964"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5744"/>
        <w:spacing w:after="0"/>
        <w:tabs>
          <w:tab w:leader="none" w:pos="6044" w:val="left"/>
        </w:tabs>
        <w:rPr>
          <w:sz w:val="20"/>
          <w:szCs w:val="20"/>
          <w:color w:val="auto"/>
        </w:rPr>
      </w:pPr>
      <w:r>
        <w:rPr>
          <w:rFonts w:ascii="Times New Roman" w:cs="Times New Roman" w:eastAsia="Times New Roman" w:hAnsi="Times New Roman"/>
          <w:sz w:val="18"/>
          <w:szCs w:val="18"/>
          <w:color w:val="auto"/>
        </w:rPr>
        <w:t> </w:t>
        <w:tab/>
        <w:t>MASTECH DIGITAL, INC.</w:t>
      </w:r>
    </w:p>
    <w:p>
      <w:pPr>
        <w:spacing w:after="0" w:line="225" w:lineRule="exact"/>
        <w:rPr>
          <w:sz w:val="20"/>
          <w:szCs w:val="20"/>
          <w:color w:val="auto"/>
        </w:rPr>
      </w:pPr>
    </w:p>
    <w:p>
      <w:pPr>
        <w:ind w:left="4"/>
        <w:spacing w:after="0"/>
        <w:tabs>
          <w:tab w:leader="none" w:pos="6044" w:val="left"/>
        </w:tabs>
        <w:rPr>
          <w:sz w:val="20"/>
          <w:szCs w:val="20"/>
          <w:color w:val="auto"/>
        </w:rPr>
      </w:pPr>
      <w:r>
        <w:rPr>
          <w:rFonts w:ascii="Times New Roman" w:cs="Times New Roman" w:eastAsia="Times New Roman" w:hAnsi="Times New Roman"/>
          <w:sz w:val="18"/>
          <w:szCs w:val="18"/>
          <w:color w:val="auto"/>
        </w:rPr>
        <w:t>Date: August 13, 2025</w:t>
      </w:r>
      <w:r>
        <w:rPr>
          <w:sz w:val="20"/>
          <w:szCs w:val="20"/>
          <w:color w:val="auto"/>
        </w:rPr>
        <w:tab/>
      </w:r>
      <w:r>
        <w:rPr>
          <w:rFonts w:ascii="Times New Roman" w:cs="Times New Roman" w:eastAsia="Times New Roman" w:hAnsi="Times New Roman"/>
          <w:sz w:val="17"/>
          <w:szCs w:val="17"/>
          <w:color w:val="auto"/>
        </w:rPr>
        <w:t>/S/ KANNAN SUGANTHARAMAN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3848735</wp:posOffset>
            </wp:positionH>
            <wp:positionV relativeFrom="paragraph">
              <wp:posOffset>17145</wp:posOffset>
            </wp:positionV>
            <wp:extent cx="314579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2" w:lineRule="exact"/>
        <w:rPr>
          <w:sz w:val="20"/>
          <w:szCs w:val="20"/>
          <w:color w:val="auto"/>
        </w:rPr>
      </w:pPr>
    </w:p>
    <w:p>
      <w:pPr>
        <w:ind w:left="6064"/>
        <w:spacing w:after="0"/>
        <w:rPr>
          <w:sz w:val="20"/>
          <w:szCs w:val="20"/>
          <w:color w:val="auto"/>
        </w:rPr>
      </w:pPr>
      <w:r>
        <w:rPr>
          <w:rFonts w:ascii="Times New Roman" w:cs="Times New Roman" w:eastAsia="Times New Roman" w:hAnsi="Times New Roman"/>
          <w:sz w:val="18"/>
          <w:szCs w:val="18"/>
          <w:b w:val="1"/>
          <w:bCs w:val="1"/>
          <w:color w:val="auto"/>
        </w:rPr>
        <w:t>Kannan Sugantharaman</w:t>
      </w:r>
    </w:p>
    <w:p>
      <w:pPr>
        <w:spacing w:after="0" w:line="31" w:lineRule="exact"/>
        <w:rPr>
          <w:sz w:val="20"/>
          <w:szCs w:val="20"/>
          <w:color w:val="auto"/>
        </w:rPr>
      </w:pPr>
    </w:p>
    <w:p>
      <w:pPr>
        <w:ind w:left="6064"/>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ectPr>
          <w:pgSz w:w="11900" w:h="16838" w:orient="portrait"/>
          <w:cols w:equalWidth="0" w:num="1">
            <w:col w:w="11024"/>
          </w:cols>
          <w:pgMar w:left="436" w:top="117" w:right="4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left="4" w:right="36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Mastech Digital, Inc. (the “Company”) on Form 10-Q for the quarter ended June 30, 2025, as filed with the Securities and Exchange Commission on the date hereof (the “Report”), I, Nirav Patel, Chief Executive Officer of the Company, certify, pursuant to 18 U.S.C. § 1350, as adopted pursuant to § 906 of the Sarbanes-Oxley Act of 2002, that, to my knowledge:</w:t>
      </w:r>
    </w:p>
    <w:p>
      <w:pPr>
        <w:spacing w:after="0" w:line="81" w:lineRule="exact"/>
        <w:rPr>
          <w:sz w:val="20"/>
          <w:szCs w:val="20"/>
          <w:color w:val="auto"/>
        </w:rPr>
      </w:pPr>
    </w:p>
    <w:p>
      <w:pPr>
        <w:ind w:left="424" w:hanging="424"/>
        <w:spacing w:after="0"/>
        <w:tabs>
          <w:tab w:leader="none" w:pos="42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 NIRAV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27946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Nirav Patel</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Chief Executive Officer</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 August 13, 2025</w:t>
      </w:r>
    </w:p>
    <w:p>
      <w:pPr>
        <w:sectPr>
          <w:pgSz w:w="11900" w:h="16838" w:orient="portrait"/>
          <w:cols w:equalWidth="0" w:num="1">
            <w:col w:w="11024"/>
          </w:cols>
          <w:pgMar w:left="436" w:top="117" w:right="4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left="4" w:right="28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Mastech Digital, Inc. (the “Company”) on Form 10-Q for the quarter ended June 30, 2025, as filed with the Securities and Exchange Commission on the date hereof (the “Report”), I, Kannan Sugantharaman, Chief Financial Officer of the Company, certify, pursuant to 18 U.S.C. § 1350, as adopted pursuant to § 906 of the Sarbanes-Oxley Act of 2002, that, to my knowledge:</w:t>
      </w:r>
    </w:p>
    <w:p>
      <w:pPr>
        <w:spacing w:after="0" w:line="81" w:lineRule="exact"/>
        <w:rPr>
          <w:sz w:val="20"/>
          <w:szCs w:val="20"/>
          <w:color w:val="auto"/>
        </w:rPr>
      </w:pPr>
    </w:p>
    <w:p>
      <w:pPr>
        <w:ind w:left="424" w:hanging="424"/>
        <w:spacing w:after="0"/>
        <w:tabs>
          <w:tab w:leader="none" w:pos="42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 KANNAN SUGANTHARAMAN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27946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Kannan Sugantharaman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Chief Financial Officer</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 August 13, 2025</w:t>
      </w:r>
    </w:p>
    <w:sectPr>
      <w:pgSz w:w="11900" w:h="16838" w:orient="portrait"/>
      <w:cols w:equalWidth="0" w:num="1">
        <w:col w:w="11024"/>
      </w:cols>
      <w:pgMar w:left="436"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1."/>
      <w:numFmt w:val="decimal"/>
      <w:start w:val="1"/>
    </w:lvl>
  </w:abstractNum>
  <w:abstractNum w:abstractNumId="3">
    <w:nsid w:val="519B500D"/>
    <w:multiLevelType w:val="hybridMultilevel"/>
    <w:lvl w:ilvl="0">
      <w:lvlJc w:val="left"/>
      <w:lvlText w:val="%1."/>
      <w:numFmt w:val="decimal"/>
      <w:start w:val="2"/>
    </w:lvl>
  </w:abstractNum>
  <w:abstractNum w:abstractNumId="4">
    <w:nsid w:val="431BD7B7"/>
    <w:multiLevelType w:val="hybridMultilevel"/>
    <w:lvl w:ilvl="0">
      <w:lvlJc w:val="left"/>
      <w:lvlText w:val="%1."/>
      <w:numFmt w:val="decimal"/>
      <w:start w:val="3"/>
    </w:lvl>
  </w:abstractNum>
  <w:abstractNum w:abstractNumId="5">
    <w:nsid w:val="3F2DBA31"/>
    <w:multiLevelType w:val="hybridMultilevel"/>
    <w:lvl w:ilvl="0">
      <w:lvlJc w:val="left"/>
      <w:lvlText w:val="%1."/>
      <w:numFmt w:val="decimal"/>
      <w:start w:val="4"/>
    </w:lvl>
  </w:abstractNum>
  <w:abstractNum w:abstractNumId="6">
    <w:nsid w:val="7C83E458"/>
    <w:multiLevelType w:val="hybridMultilevel"/>
    <w:lvl w:ilvl="0">
      <w:lvlJc w:val="left"/>
      <w:lvlText w:val="%1."/>
      <w:numFmt w:val="decimal"/>
      <w:start w:val="5"/>
    </w:lvl>
  </w:abstractNum>
  <w:abstractNum w:abstractNumId="7">
    <w:nsid w:val="257130A3"/>
    <w:multiLevelType w:val="hybridMultilevel"/>
    <w:lvl w:ilvl="0">
      <w:lvlJc w:val="left"/>
      <w:lvlText w:val="%1."/>
      <w:numFmt w:val="decimal"/>
      <w:start w:val="6"/>
    </w:lvl>
  </w:abstractNum>
  <w:abstractNum w:abstractNumId="8">
    <w:nsid w:val="62BBD95A"/>
    <w:multiLevelType w:val="hybridMultilevel"/>
    <w:lvl w:ilvl="0">
      <w:lvlJc w:val="left"/>
      <w:lvlText w:val="%1."/>
      <w:numFmt w:val="decimal"/>
      <w:start w:val="7"/>
    </w:lvl>
  </w:abstractNum>
  <w:abstractNum w:abstractNumId="9">
    <w:nsid w:val="436C6125"/>
    <w:multiLevelType w:val="hybridMultilevel"/>
    <w:lvl w:ilvl="0">
      <w:lvlJc w:val="left"/>
      <w:lvlText w:val="%1."/>
      <w:numFmt w:val="decimal"/>
      <w:start w:val="8"/>
    </w:lvl>
  </w:abstractNum>
  <w:abstractNum w:abstractNumId="10">
    <w:nsid w:val="628C895D"/>
    <w:multiLevelType w:val="hybridMultilevel"/>
    <w:lvl w:ilvl="0">
      <w:lvlJc w:val="left"/>
      <w:lvlText w:val="%1."/>
      <w:numFmt w:val="decimal"/>
      <w:start w:val="9"/>
    </w:lvl>
  </w:abstractNum>
  <w:abstractNum w:abstractNumId="11">
    <w:nsid w:val="333AB105"/>
    <w:multiLevelType w:val="hybridMultilevel"/>
    <w:lvl w:ilvl="0">
      <w:lvlJc w:val="left"/>
      <w:lvlText w:val="%1."/>
      <w:numFmt w:val="decimal"/>
      <w:start w:val="10"/>
    </w:lvl>
  </w:abstractNum>
  <w:abstractNum w:abstractNumId="12">
    <w:nsid w:val="721DA317"/>
    <w:multiLevelType w:val="hybridMultilevel"/>
    <w:lvl w:ilvl="0">
      <w:lvlJc w:val="left"/>
      <w:lvlText w:val="%1."/>
      <w:numFmt w:val="decimal"/>
      <w:start w:val="11"/>
    </w:lvl>
  </w:abstractNum>
  <w:abstractNum w:abstractNumId="13">
    <w:nsid w:val="2443A858"/>
    <w:multiLevelType w:val="hybridMultilevel"/>
    <w:lvl w:ilvl="0">
      <w:lvlJc w:val="left"/>
      <w:lvlText w:val="%1."/>
      <w:numFmt w:val="decimal"/>
      <w:start w:val="12"/>
    </w:lvl>
  </w:abstractNum>
  <w:abstractNum w:abstractNumId="14">
    <w:nsid w:val="2D1D5AE9"/>
    <w:multiLevelType w:val="hybridMultilevel"/>
    <w:lvl w:ilvl="0">
      <w:lvlJc w:val="left"/>
      <w:lvlText w:val="%1."/>
      <w:numFmt w:val="decimal"/>
      <w:start w:val="13"/>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1)"/>
      <w:numFmt w:val="decimal"/>
      <w:start w:val="1"/>
    </w:lvl>
  </w:abstractNum>
  <w:abstractNum w:abstractNumId="18">
    <w:nsid w:val="79838CB2"/>
    <w:multiLevelType w:val="hybridMultilevel"/>
    <w:lvl w:ilvl="0">
      <w:lvlJc w:val="left"/>
      <w:lvlText w:val="%1"/>
      <w:numFmt w:val="decimal"/>
      <w:start w:val="104"/>
    </w:lvl>
  </w:abstractNum>
  <w:abstractNum w:abstractNumId="19">
    <w:nsid w:val="4353D0CD"/>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9"/>
    </w:lvl>
  </w:abstractNum>
  <w:abstractNum w:abstractNumId="20">
    <w:nsid w:val="B03E0C6"/>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21">
    <w:nsid w:val="189A769B"/>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3"/>
    </w:lvl>
  </w:abstractNum>
  <w:abstractNum w:abstractNumId="22">
    <w:nsid w:val="54E49EB4"/>
    <w:multiLevelType w:val="hybridMultilevel"/>
    <w:lvl w:ilvl="0">
      <w:lvlJc w:val="left"/>
      <w:lvlText w:val="(%1)"/>
      <w:numFmt w:val="lowerLetter"/>
      <w:start w:val="4"/>
    </w:lvl>
  </w:abstractNum>
  <w:abstractNum w:abstractNumId="23">
    <w:nsid w:val="71F32454"/>
    <w:multiLevelType w:val="hybridMultilevel"/>
    <w:lvl w:ilvl="0">
      <w:lvlJc w:val="left"/>
      <w:lvlText w:val="%1."/>
      <w:numFmt w:val="decimal"/>
      <w:start w:val="3"/>
    </w:lvl>
  </w:abstractNum>
  <w:abstractNum w:abstractNumId="24">
    <w:nsid w:val="2CA88611"/>
    <w:multiLevelType w:val="hybridMultilevel"/>
    <w:lvl w:ilvl="0">
      <w:lvlJc w:val="left"/>
      <w:lvlText w:val="%1."/>
      <w:numFmt w:val="decimal"/>
      <w:start w:val="5"/>
    </w:lvl>
  </w:abstractNum>
  <w:abstractNum w:abstractNumId="25">
    <w:nsid w:val="836C40E"/>
    <w:multiLevelType w:val="hybridMultilevel"/>
    <w:lvl w:ilvl="0">
      <w:lvlJc w:val="left"/>
      <w:lvlText w:val="%1."/>
      <w:numFmt w:val="decimal"/>
      <w:start w:val="8"/>
    </w:lvl>
    <w:lvl w:ilvl="1">
      <w:lvlJc w:val="left"/>
      <w:lvlText w:val="%2."/>
      <w:numFmt w:val="lowerLetter"/>
      <w:start w:val="2"/>
    </w:lvl>
  </w:abstractNum>
  <w:abstractNum w:abstractNumId="26">
    <w:nsid w:val="2901D82"/>
    <w:multiLevelType w:val="hybridMultilevel"/>
    <w:lvl w:ilvl="0">
      <w:lvlJc w:val="left"/>
      <w:lvlText w:val="%1."/>
      <w:numFmt w:val="decimal"/>
      <w:start w:val="12"/>
    </w:lvl>
  </w:abstractNum>
  <w:abstractNum w:abstractNumId="27">
    <w:nsid w:val="3A95F874"/>
    <w:multiLevelType w:val="hybridMultilevel"/>
    <w:lvl w:ilvl="0">
      <w:lvlJc w:val="left"/>
      <w:lvlText w:val="%1."/>
      <w:numFmt w:val="decimal"/>
      <w:start w:val="1"/>
    </w:lvl>
    <w:lvl w:ilvl="1">
      <w:lvlJc w:val="left"/>
      <w:lvlText w:val="(%2)"/>
      <w:numFmt w:val="lowerLetter"/>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48" Type="http://schemas.openxmlformats.org/officeDocument/2006/relationships/hyperlink" Target="http://www.sec.gov/Archives/edgar/data/1437226/000119312525073415/d938577dex101.htm" TargetMode="External"/><Relationship Id="rId49" Type="http://schemas.openxmlformats.org/officeDocument/2006/relationships/hyperlink" Target="http://www.sec.gov/Archives/edgar/data/1437226/000119312525073415/d938577dex102.htm" TargetMode="External"/><Relationship Id="rId50" Type="http://schemas.openxmlformats.org/officeDocument/2006/relationships/hyperlink" Target="http://www.sec.gov/Archives/edgar/data/1437226/000119312525122458/d947530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2025-08-13T07:35:45Z</dcterms:created>
  <dcterms:modified xsi:type="dcterms:W3CDTF">2025-08-13T07:35:45Z</dcterms:modified>
</cp:coreProperties>
</file>