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1386d10q.htm"/>
        <w:bookmarkStart w:id="1" w:name="ksd941386d10q"/>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pacing w:val="0"/>
          <w:sz w:val="36"/>
        </w:rPr>
      </w:pPr>
      <w:r>
        <w:rPr>
          <w:rFonts w:ascii="Times New Roman" w:hAnsi="Times New Roman"/>
          <w:b/>
          <w:spacing w:val="0"/>
          <w:sz w:val="36"/>
        </w:rPr>
        <w:t>FORM 10-Q</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80" w:after="0"/>
        <w:jc w:val="center"/>
        <w:rPr>
          <w:rFonts w:ascii="Times New Roman" w:hAnsi="Times New Roman"/>
          <w:b/>
          <w:sz w:val="20"/>
        </w:rPr>
      </w:pPr>
      <w:r>
        <w:rPr>
          <w:rFonts w:ascii="Times New Roman" w:hAnsi="Times New Roman"/>
          <w:b/>
          <w:sz w:val="20"/>
        </w:rPr>
        <w:t xml:space="preserve">For the quarterly period ended March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8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80" w:after="0"/>
        <w:jc w:val="center"/>
        <w:rPr>
          <w:rFonts w:ascii="Times New Roman" w:hAnsi="Times New Roman"/>
          <w:b/>
          <w:spacing w:val="0"/>
          <w:sz w:val="20"/>
        </w:rPr>
      </w:pPr>
      <w:r>
        <w:rPr>
          <w:rFonts w:ascii="Times New Roman" w:hAnsi="Times New Roman"/>
          <w:b/>
          <w:spacing w:val="0"/>
          <w:sz w:val="20"/>
        </w:rPr>
        <w:t>001-34099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8"/>
        </w:rPr>
      </w:pPr>
      <w:r>
        <w:rPr>
          <w:rFonts w:ascii="Times New Roman" w:hAnsi="Times New Roman"/>
          <w:b/>
          <w:sz w:val="48"/>
        </w:rPr>
        <w:t xml:space="preserve">MASTECH DIGITAL,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PENNSYLVANIA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26-2753540</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4415"/>
        <w:gridCol w:w="60"/>
        <w:gridCol w:w="1145"/>
      </w:tblGrid>
      <w:tr>
        <w:trPr/>
        <w:tc>
          <w:tcPr>
            <w:tcW w:w="4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1305 Cherrington Parkway, Building 210, Suite 400</w:t>
            </w:r>
          </w:p>
          <w:p>
            <w:pPr>
              <w:pStyle w:val="TableContents"/>
              <w:bidi w:val="0"/>
              <w:spacing w:before="0" w:after="20"/>
              <w:jc w:val="center"/>
              <w:rPr>
                <w:rFonts w:ascii="Times New Roman" w:hAnsi="Times New Roman"/>
                <w:b/>
                <w:sz w:val="20"/>
              </w:rPr>
            </w:pPr>
            <w:r>
              <w:rPr>
                <w:rFonts w:ascii="Times New Roman" w:hAnsi="Times New Roman"/>
                <w:b/>
                <w:sz w:val="20"/>
              </w:rPr>
              <w:t>Moon Township, Pennsylvania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15108</w:t>
            </w:r>
          </w:p>
        </w:tc>
      </w:tr>
      <w:tr>
        <w:trPr/>
        <w:tc>
          <w:tcPr>
            <w:tcW w:w="441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(412) 787-2100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4190"/>
        <w:gridCol w:w="60"/>
        <w:gridCol w:w="740"/>
        <w:gridCol w:w="60"/>
        <w:gridCol w:w="1760"/>
      </w:tblGrid>
      <w:tr>
        <w:trPr/>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Title of each class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Symbol(s)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on which registered</w:t>
            </w:r>
          </w:p>
        </w:tc>
      </w:tr>
      <w:tr>
        <w:trPr/>
        <w:tc>
          <w:tcPr>
            <w:tcW w:w="4190" w:type="dxa"/>
            <w:tcBorders/>
            <w:vAlign w:val="center"/>
          </w:tcPr>
          <w:p>
            <w:pPr>
              <w:pStyle w:val="TableContents"/>
              <w:bidi w:val="0"/>
              <w:spacing w:before="0" w:after="0"/>
              <w:jc w:val="center"/>
              <w:rPr>
                <w:b/>
                <w:spacing w:val="0"/>
              </w:rPr>
            </w:pPr>
            <w:r>
              <w:rPr>
                <w:b/>
                <w:spacing w:val="0"/>
              </w:rPr>
              <w:t>Common Stock, par value $.01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MHH</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center"/>
              <w:rPr>
                <w:b/>
                <w:spacing w:val="0"/>
              </w:rPr>
            </w:pPr>
            <w:r>
              <w:rPr>
                <w:b/>
                <w:spacing w:val="0"/>
              </w:rPr>
              <w:t>NYSE American</w:t>
            </w:r>
          </w:p>
        </w:tc>
      </w:tr>
    </w:tbl>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80" w:after="0"/>
        <w:jc w:val="left"/>
        <w:rPr>
          <w:rFonts w:ascii="Times New Roman" w:hAnsi="Times New Roman"/>
          <w:spacing w:val="0"/>
          <w:sz w:val="20"/>
        </w:rPr>
      </w:pPr>
      <w:r>
        <w:rPr>
          <w:rFonts w:ascii="Times New Roman" w:hAnsi="Times New Roman"/>
          <w:spacing w:val="0"/>
          <w:sz w:val="20"/>
        </w:rPr>
        <w:t>S-T</w:t>
      </w:r>
    </w:p>
    <w:p>
      <w:pPr>
        <w:pStyle w:val="TextBody"/>
        <w:bidi w:val="0"/>
        <w:spacing w:before="8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files). Yes ☒ No ☐ </w:t>
      </w:r>
    </w:p>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8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8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w:t>
      </w:r>
    </w:p>
    <w:p>
      <w:pPr>
        <w:pStyle w:val="TextBody"/>
        <w:bidi w:val="0"/>
        <w:spacing w:before="80" w:after="0"/>
        <w:jc w:val="left"/>
        <w:rPr>
          <w:rFonts w:ascii="Times New Roman" w:hAnsi="Times New Roman"/>
          <w:spacing w:val="0"/>
          <w:sz w:val="20"/>
        </w:rPr>
      </w:pPr>
      <w:r>
        <w:rPr>
          <w:rFonts w:ascii="Times New Roman" w:hAnsi="Times New Roman"/>
          <w:spacing w:val="0"/>
          <w:sz w:val="20"/>
        </w:rPr>
        <w:t>Rule 12b-2</w:t>
      </w:r>
    </w:p>
    <w:p>
      <w:pPr>
        <w:pStyle w:val="TextBody"/>
        <w:bidi w:val="0"/>
        <w:spacing w:before="8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is a shell company (as defined in </w:t>
      </w:r>
    </w:p>
    <w:p>
      <w:pPr>
        <w:pStyle w:val="TextBody"/>
        <w:bidi w:val="0"/>
        <w:spacing w:before="80" w:after="0"/>
        <w:jc w:val="left"/>
        <w:rPr>
          <w:rFonts w:ascii="Times New Roman" w:hAnsi="Times New Roman"/>
          <w:spacing w:val="0"/>
          <w:sz w:val="20"/>
        </w:rPr>
      </w:pPr>
      <w:r>
        <w:rPr>
          <w:rFonts w:ascii="Times New Roman" w:hAnsi="Times New Roman"/>
          <w:spacing w:val="0"/>
          <w:sz w:val="20"/>
        </w:rPr>
        <w:t>Rule 12b-2</w:t>
      </w:r>
    </w:p>
    <w:p>
      <w:pPr>
        <w:pStyle w:val="TextBody"/>
        <w:bidi w:val="0"/>
        <w:spacing w:before="8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80" w:after="0"/>
        <w:jc w:val="left"/>
        <w:rPr>
          <w:rFonts w:ascii="Times New Roman" w:hAnsi="Times New Roman"/>
          <w:sz w:val="20"/>
        </w:rPr>
      </w:pPr>
      <w:r>
        <w:rPr>
          <w:rFonts w:ascii="Times New Roman" w:hAnsi="Times New Roman"/>
          <w:sz w:val="20"/>
        </w:rPr>
        <w:t xml:space="preserve">The number of shares of the registrant’s Common Stock, par value $.01 per share, outstanding as of April 30, 2025 was 11,764,649.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MASTECH DIGITAL, INC. </w:t>
      </w:r>
    </w:p>
    <w:p>
      <w:pPr>
        <w:pStyle w:val="TextBody"/>
        <w:bidi w:val="0"/>
        <w:spacing w:before="0" w:after="0"/>
        <w:jc w:val="center"/>
        <w:rPr>
          <w:rFonts w:ascii="Times New Roman" w:hAnsi="Times New Roman"/>
          <w:b/>
          <w:sz w:val="20"/>
        </w:rPr>
      </w:pPr>
      <w:r>
        <w:rPr>
          <w:rFonts w:ascii="Times New Roman" w:hAnsi="Times New Roman"/>
          <w:b/>
          <w:sz w:val="20"/>
        </w:rPr>
        <w:t xml:space="preserve">QUARTERLY REPORT ON FORM 10-Q </w:t>
      </w:r>
    </w:p>
    <w:p>
      <w:pPr>
        <w:pStyle w:val="TextBody"/>
        <w:bidi w:val="0"/>
        <w:spacing w:before="0" w:after="0"/>
        <w:jc w:val="center"/>
        <w:rPr>
          <w:rFonts w:ascii="Times New Roman" w:hAnsi="Times New Roman"/>
          <w:b/>
          <w:sz w:val="20"/>
        </w:rPr>
      </w:pPr>
      <w:r>
        <w:rPr>
          <w:rFonts w:ascii="Times New Roman" w:hAnsi="Times New Roman"/>
          <w:b/>
          <w:sz w:val="20"/>
        </w:rPr>
        <w:t xml:space="preserve">FOR THE QUARTER ENDED MARCH 31, 2025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120"/>
        <w:gridCol w:w="259"/>
        <w:gridCol w:w="120"/>
        <w:gridCol w:w="8465"/>
        <w:gridCol w:w="120"/>
        <w:gridCol w:w="396"/>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9689" w:type="dxa"/>
            <w:gridSpan w:val="5"/>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Page</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 1</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
              <w:r>
                <w:rPr>
                  <w:rStyle w:val="InternetLink"/>
                </w:rPr>
                <w:t>FINANCIAL INFORMATION</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3</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2">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3</w:t>
            </w:r>
          </w:p>
        </w:tc>
      </w:tr>
      <w:tr>
        <w:trPr/>
        <w:tc>
          <w:tcPr>
            <w:tcW w:w="725"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8585"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(a)</w:t>
            </w:r>
          </w:p>
        </w:tc>
        <w:tc>
          <w:tcPr>
            <w:tcW w:w="12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toc941386_3">
              <w:r>
                <w:rPr>
                  <w:rStyle w:val="InternetLink"/>
                </w:rPr>
                <w:t>Condensed Consolidated Statements of Operations (Unaudited) for the Three Months Ended March 31, 2025 and 2024</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3</w:t>
            </w:r>
          </w:p>
        </w:tc>
      </w:tr>
      <w:tr>
        <w:trPr/>
        <w:tc>
          <w:tcPr>
            <w:tcW w:w="725"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8585"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(b)</w:t>
            </w:r>
          </w:p>
        </w:tc>
        <w:tc>
          <w:tcPr>
            <w:tcW w:w="12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toc941386_4">
              <w:r>
                <w:rPr>
                  <w:rStyle w:val="InternetLink"/>
                </w:rPr>
                <w:t>Condensed Consolidated Statements of Comprehensive Income (Unaudited) for the Three Months Ended March 31, 2025 and 2024</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4</w:t>
            </w:r>
          </w:p>
        </w:tc>
      </w:tr>
      <w:tr>
        <w:trPr/>
        <w:tc>
          <w:tcPr>
            <w:tcW w:w="725"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8585"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(c)</w:t>
            </w:r>
          </w:p>
        </w:tc>
        <w:tc>
          <w:tcPr>
            <w:tcW w:w="12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toc941386_5">
              <w:r>
                <w:rPr>
                  <w:rStyle w:val="InternetLink"/>
                </w:rPr>
                <w:t>Condensed Consolidated Balance Sheets (Unaudited) as of March 31, 2025 and December 31, 2024</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5</w:t>
            </w:r>
          </w:p>
        </w:tc>
      </w:tr>
      <w:tr>
        <w:trPr/>
        <w:tc>
          <w:tcPr>
            <w:tcW w:w="725"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8585"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(d)</w:t>
            </w:r>
          </w:p>
        </w:tc>
        <w:tc>
          <w:tcPr>
            <w:tcW w:w="12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toc941386_6">
              <w:r>
                <w:rPr>
                  <w:rStyle w:val="InternetLink"/>
                </w:rPr>
                <w:t>Condensed Consolidated Statements of Shareholders’ Equity (Unaudited) for the Three Months Ended March 31, 2025 and March 31, 2024</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6</w:t>
            </w:r>
          </w:p>
        </w:tc>
      </w:tr>
      <w:tr>
        <w:trPr/>
        <w:tc>
          <w:tcPr>
            <w:tcW w:w="725"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8585"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(e)</w:t>
            </w:r>
          </w:p>
        </w:tc>
        <w:tc>
          <w:tcPr>
            <w:tcW w:w="12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toc941386_7">
              <w:r>
                <w:rPr>
                  <w:rStyle w:val="InternetLink"/>
                </w:rPr>
                <w:t>Condensed Consolidated Statements of Cash Flows (Unaudited) for the Three Months Ended March 31, 2025 and 2024</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7</w:t>
            </w:r>
          </w:p>
        </w:tc>
      </w:tr>
      <w:tr>
        <w:trPr/>
        <w:tc>
          <w:tcPr>
            <w:tcW w:w="725"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8585"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(f)</w:t>
            </w:r>
          </w:p>
        </w:tc>
        <w:tc>
          <w:tcPr>
            <w:tcW w:w="12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toc941386_8">
              <w:r>
                <w:rPr>
                  <w:rStyle w:val="InternetLink"/>
                </w:rPr>
                <w:t>Notes to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8</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9">
              <w:r>
                <w:rPr>
                  <w:rStyle w:val="InternetLink"/>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20</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0">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25</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1">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26</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 II</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2">
              <w:r>
                <w:rPr>
                  <w:rStyle w:val="InternetLink"/>
                </w:rPr>
                <w:t>OTHER INFORMATION</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27</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3">
              <w:r>
                <w:rPr>
                  <w:rStyle w:val="InternetLink"/>
                </w:rPr>
                <w:t>Legal Proceedings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27</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4">
              <w:r>
                <w:rPr>
                  <w:rStyle w:val="InternetLink"/>
                </w:rPr>
                <w:t>Risk Factors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27</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5">
              <w:r>
                <w:rPr>
                  <w:rStyle w:val="InternetLink"/>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27</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6">
              <w:r>
                <w:rPr>
                  <w:rStyle w:val="InternetLink"/>
                </w:rPr>
                <w:t>Other Information</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27</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7">
              <w:r>
                <w:rPr>
                  <w:rStyle w:val="InternetLink"/>
                </w:rPr>
                <w:t>Exhibits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28</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964" w:type="dxa"/>
            <w:gridSpan w:val="4"/>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44" w:type="dxa"/>
            <w:gridSpan w:val="3"/>
            <w:tcBorders/>
            <w:vAlign w:val="center"/>
          </w:tcPr>
          <w:p>
            <w:pPr>
              <w:pStyle w:val="TableContents"/>
              <w:bidi w:val="0"/>
              <w:spacing w:before="0" w:after="283"/>
              <w:jc w:val="left"/>
              <w:rPr/>
            </w:pPr>
            <w:hyperlink w:anchor="toc941386_18">
              <w:r>
                <w:rPr>
                  <w:rStyle w:val="InternetLink"/>
                </w:rPr>
                <w:t>SIGNATURES</w:t>
              </w:r>
            </w:hyperlink>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29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 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905"/>
        <w:gridCol w:w="2540"/>
      </w:tblGrid>
      <w:tr>
        <w:trPr/>
        <w:tc>
          <w:tcPr>
            <w:tcW w:w="905" w:type="dxa"/>
            <w:tcBorders/>
            <w:vAlign w:val="center"/>
          </w:tcPr>
          <w:p>
            <w:pPr>
              <w:pStyle w:val="TableContents"/>
              <w:bidi w:val="0"/>
              <w:spacing w:before="0" w:after="0"/>
              <w:jc w:val="left"/>
              <w:rPr>
                <w:b/>
                <w:spacing w:val="0"/>
              </w:rPr>
            </w:pPr>
            <w:bookmarkStart w:id="3" w:name="toc941386_2"/>
            <w:bookmarkEnd w:id="3"/>
            <w:r>
              <w:rPr>
                <w:b/>
                <w:spacing w:val="0"/>
              </w:rPr>
              <w:t>ITEM 1.</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MASTECH DIGITAL,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6375" w:type="dxa"/>
        <w:jc w:val="left"/>
        <w:tblInd w:w="0" w:type="dxa"/>
        <w:tblLayout w:type="fixed"/>
        <w:tblCellMar>
          <w:top w:w="0" w:type="dxa"/>
          <w:left w:w="0" w:type="dxa"/>
          <w:bottom w:w="0" w:type="dxa"/>
          <w:right w:w="0" w:type="dxa"/>
        </w:tblCellMar>
      </w:tblPr>
      <w:tblGrid>
        <w:gridCol w:w="3875"/>
        <w:gridCol w:w="120"/>
        <w:gridCol w:w="166"/>
        <w:gridCol w:w="810"/>
        <w:gridCol w:w="184"/>
        <w:gridCol w:w="71"/>
        <w:gridCol w:w="166"/>
        <w:gridCol w:w="813"/>
        <w:gridCol w:w="170"/>
      </w:tblGrid>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48,317</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46,823</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35,425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34,692</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12,892</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12,131</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14,745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12,537</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(1,853</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(406</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115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154</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(24</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(1,762</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(282</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(323</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right"/>
              <w:rPr/>
            </w:pPr>
            <w:r>
              <w:rPr/>
              <w:t>(1,439</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3" w:type="dxa"/>
            <w:tcBorders/>
            <w:vAlign w:val="center"/>
          </w:tcPr>
          <w:p>
            <w:pPr>
              <w:pStyle w:val="TableContents"/>
              <w:bidi w:val="0"/>
              <w:spacing w:before="0" w:after="283"/>
              <w:jc w:val="right"/>
              <w:rPr/>
            </w:pPr>
            <w:r>
              <w:rPr/>
              <w:t>(161</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0" w:type="dxa"/>
            <w:tcBorders/>
            <w:vAlign w:val="center"/>
          </w:tcPr>
          <w:p>
            <w:pPr>
              <w:pStyle w:val="TableContents"/>
              <w:bidi w:val="0"/>
              <w:spacing w:before="0" w:after="0"/>
              <w:jc w:val="left"/>
              <w:rPr>
                <w:bdr w:val="double" w:sz="6" w:space="1" w:color="000000"/>
              </w:rPr>
            </w:pPr>
            <w:r>
              <w:rPr>
                <w:bdr w:val="double" w:sz="6"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(loss) per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right"/>
              <w:rPr/>
            </w:pPr>
            <w:r>
              <w:rPr/>
              <w:t>(.12</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3"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0" w:type="dxa"/>
            <w:tcBorders/>
            <w:vAlign w:val="center"/>
          </w:tcPr>
          <w:p>
            <w:pPr>
              <w:pStyle w:val="TableContents"/>
              <w:bidi w:val="0"/>
              <w:spacing w:before="0" w:after="0"/>
              <w:jc w:val="left"/>
              <w:rPr>
                <w:bdr w:val="double" w:sz="6" w:space="1" w:color="000000"/>
              </w:rPr>
            </w:pPr>
            <w:r>
              <w:rPr>
                <w:bdr w:val="double" w:sz="6"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(.12</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0" w:type="dxa"/>
            <w:tcBorders/>
            <w:vAlign w:val="center"/>
          </w:tcPr>
          <w:p>
            <w:pPr>
              <w:pStyle w:val="TableContents"/>
              <w:bidi w:val="0"/>
              <w:spacing w:before="0" w:after="0"/>
              <w:jc w:val="left"/>
              <w:rPr>
                <w:bdr w:val="double" w:sz="6" w:space="1" w:color="000000"/>
              </w:rPr>
            </w:pPr>
            <w:r>
              <w:rPr>
                <w:bdr w:val="double" w:sz="6"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11,753</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11,615</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11,753</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11,615</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MASTECH DIGITAL,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COMPREHENSIVE INCOME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6615" w:type="dxa"/>
        <w:jc w:val="left"/>
        <w:tblInd w:w="0" w:type="dxa"/>
        <w:tblLayout w:type="fixed"/>
        <w:tblCellMar>
          <w:top w:w="0" w:type="dxa"/>
          <w:left w:w="0" w:type="dxa"/>
          <w:bottom w:w="0" w:type="dxa"/>
          <w:right w:w="0" w:type="dxa"/>
        </w:tblCellMar>
      </w:tblPr>
      <w:tblGrid>
        <w:gridCol w:w="4115"/>
        <w:gridCol w:w="120"/>
        <w:gridCol w:w="195"/>
        <w:gridCol w:w="885"/>
        <w:gridCol w:w="216"/>
        <w:gridCol w:w="83"/>
        <w:gridCol w:w="195"/>
        <w:gridCol w:w="636"/>
        <w:gridCol w:w="170"/>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(1,439</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(161</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30</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885"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6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gain (loss), net of taxes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30</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(28</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885"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6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(1,409</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(189</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885" w:type="dxa"/>
            <w:tcBorders/>
            <w:vAlign w:val="center"/>
          </w:tcPr>
          <w:p>
            <w:pPr>
              <w:pStyle w:val="TableContents"/>
              <w:bidi w:val="0"/>
              <w:spacing w:before="0" w:after="0"/>
              <w:jc w:val="left"/>
              <w:rPr>
                <w:bdr w:val="double" w:sz="6" w:space="1" w:color="000000"/>
              </w:rPr>
            </w:pPr>
            <w:r>
              <w:rPr>
                <w:bdr w:val="double" w:sz="6"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63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MASTECH DIGITAL,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80"/>
        <w:gridCol w:w="120"/>
        <w:gridCol w:w="153"/>
        <w:gridCol w:w="883"/>
        <w:gridCol w:w="155"/>
        <w:gridCol w:w="60"/>
        <w:gridCol w:w="204"/>
        <w:gridCol w:w="1177"/>
        <w:gridCol w:w="173"/>
      </w:tblGrid>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24,665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27,742</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 of $311 in 2025 and $311 in 2024</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23,809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23,845</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8,337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7,598</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7,652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7,020</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64,463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66,205</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Equipment, enterprise software, and leasehold improvements, at cost:</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2479" w:type="dxa"/>
            <w:gridSpan w:val="5"/>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Equipment</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3,789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3,671</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Enterprise software</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4,185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4,185</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742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742</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8,716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8,598</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 accumulated depreciation and amortization</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(6,784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(6,600</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equipment, enterprise software, and leasehold improvements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1,932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1,998</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3,514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3,832</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1,295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1,298</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financing costs, net</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189</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compensation, net</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1,375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444</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 net of impairment</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27,210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27,210</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 of amortization</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9,658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10,308</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110,076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283"/>
              <w:jc w:val="right"/>
              <w:rPr/>
            </w:pPr>
            <w:r>
              <w:rPr/>
              <w:t>111,484</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88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1177"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3,742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4,683</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 and related costs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13,448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13,750</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liability</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1,265</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550</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329</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19,411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20,577</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liability, less current portion</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2,158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2,486</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severance liability</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987</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23,129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24,050</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contingent liabilities (Note 5)</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no par value; 20,000,000 shares authorized; none outstanding</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par value $.01; 100,000,000 shares authorized and 13,487,990 shares issued as of March 31, 2025 and 13,444,712 shares issued as of December 31, 2024</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135</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39,199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38,277</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54,378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55,817</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(1,880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(1,910</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at cost; 1,723,341 shares as of March 31, 2025 and 1,723,341 as of December 31, 2024</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(4,885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(4,885</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86,947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87,434</w:t>
            </w:r>
          </w:p>
        </w:tc>
        <w:tc>
          <w:tcPr>
            <w:tcW w:w="173" w:type="dxa"/>
            <w:tcBorders/>
            <w:shd w:fill="CCEEFF" w:val="cle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8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110,076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283"/>
              <w:jc w:val="right"/>
              <w:rPr/>
            </w:pPr>
            <w:r>
              <w:rPr/>
              <w:t>111,484</w:t>
            </w:r>
          </w:p>
        </w:tc>
        <w:tc>
          <w:tcPr>
            <w:tcW w:w="173"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88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bdr w:val="double" w:sz="6" w:space="1" w:color="000000"/>
              </w:rPr>
            </w:pPr>
            <w:r>
              <w:rPr>
                <w:bdr w:val="double" w:sz="6" w:space="1" w:color="000000"/>
              </w:rPr>
              <w:t> </w:t>
            </w:r>
          </w:p>
        </w:tc>
        <w:tc>
          <w:tcPr>
            <w:tcW w:w="1177"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MASTECH DIGITAL,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SHAREHOLDERS’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0"/>
        <w:gridCol w:w="120"/>
        <w:gridCol w:w="259"/>
        <w:gridCol w:w="706"/>
        <w:gridCol w:w="60"/>
        <w:gridCol w:w="120"/>
        <w:gridCol w:w="187"/>
        <w:gridCol w:w="913"/>
        <w:gridCol w:w="60"/>
        <w:gridCol w:w="120"/>
        <w:gridCol w:w="233"/>
        <w:gridCol w:w="1137"/>
        <w:gridCol w:w="155"/>
        <w:gridCol w:w="60"/>
        <w:gridCol w:w="174"/>
        <w:gridCol w:w="791"/>
        <w:gridCol w:w="155"/>
        <w:gridCol w:w="60"/>
        <w:gridCol w:w="290"/>
        <w:gridCol w:w="1320"/>
        <w:gridCol w:w="155"/>
        <w:gridCol w:w="60"/>
        <w:gridCol w:w="234"/>
        <w:gridCol w:w="1145"/>
        <w:gridCol w:w="171"/>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Shareholders’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1"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Balances, December 31, 2024</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38,277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55,817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(4,885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(1,910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87,434</w:t>
            </w:r>
          </w:p>
        </w:tc>
        <w:tc>
          <w:tcPr>
            <w:tcW w:w="171"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(1,439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(1,439</w:t>
            </w:r>
          </w:p>
        </w:tc>
        <w:tc>
          <w:tcPr>
            <w:tcW w:w="171"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gain, net of taxes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30</w:t>
            </w:r>
          </w:p>
        </w:tc>
        <w:tc>
          <w:tcPr>
            <w:tcW w:w="171"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895</w:t>
            </w:r>
          </w:p>
        </w:tc>
        <w:tc>
          <w:tcPr>
            <w:tcW w:w="171"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exercised</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27</w:t>
            </w:r>
          </w:p>
        </w:tc>
        <w:tc>
          <w:tcPr>
            <w:tcW w:w="171"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single" w:sz="2" w:space="1" w:color="000000"/>
              </w:rPr>
            </w:pPr>
            <w:r>
              <w:rPr>
                <w:bdr w:val="single" w:sz="2" w:space="1" w:color="000000"/>
              </w:rPr>
              <w:t> </w:t>
            </w:r>
          </w:p>
        </w:tc>
        <w:tc>
          <w:tcPr>
            <w:tcW w:w="70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9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Balances, March 31, 2025</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39,199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54,378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91" w:type="dxa"/>
            <w:tcBorders/>
            <w:vAlign w:val="center"/>
          </w:tcPr>
          <w:p>
            <w:pPr>
              <w:pStyle w:val="TableContents"/>
              <w:bidi w:val="0"/>
              <w:spacing w:before="0" w:after="283"/>
              <w:jc w:val="right"/>
              <w:rPr/>
            </w:pPr>
            <w:r>
              <w:rPr/>
              <w:t>(4,885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1320" w:type="dxa"/>
            <w:tcBorders/>
            <w:vAlign w:val="center"/>
          </w:tcPr>
          <w:p>
            <w:pPr>
              <w:pStyle w:val="TableContents"/>
              <w:bidi w:val="0"/>
              <w:spacing w:before="0" w:after="283"/>
              <w:jc w:val="right"/>
              <w:rPr/>
            </w:pPr>
            <w:r>
              <w:rPr/>
              <w:t>(1,880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86,947</w:t>
            </w:r>
          </w:p>
        </w:tc>
        <w:tc>
          <w:tcPr>
            <w:tcW w:w="171"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double" w:sz="6" w:space="1" w:color="000000"/>
              </w:rPr>
            </w:pPr>
            <w:r>
              <w:rPr>
                <w:bdr w:val="double" w:sz="6" w:space="1" w:color="000000"/>
              </w:rPr>
              <w:t> </w:t>
            </w:r>
          </w:p>
        </w:tc>
        <w:tc>
          <w:tcPr>
            <w:tcW w:w="70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9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double" w:sz="6" w:space="1" w:color="000000"/>
              </w:rPr>
            </w:pPr>
            <w:r>
              <w:rPr>
                <w:bdr w:val="double" w:sz="6" w:space="1" w:color="000000"/>
              </w:rPr>
              <w:t> </w:t>
            </w:r>
          </w:p>
        </w:tc>
        <w:tc>
          <w:tcPr>
            <w:tcW w:w="13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bdr w:val="double" w:sz="6" w:space="1" w:color="000000"/>
              </w:rPr>
            </w:pPr>
            <w:r>
              <w:rPr>
                <w:bdr w:val="double" w:sz="6" w:space="1" w:color="000000"/>
              </w:rPr>
              <w:t> </w:t>
            </w:r>
          </w:p>
        </w:tc>
        <w:tc>
          <w:tcPr>
            <w:tcW w:w="1145" w:type="dxa"/>
            <w:tcBorders/>
            <w:vAlign w:val="center"/>
          </w:tcPr>
          <w:p>
            <w:pPr>
              <w:pStyle w:val="TableContents"/>
              <w:bidi w:val="0"/>
              <w:spacing w:before="0" w:after="0"/>
              <w:jc w:val="left"/>
              <w:rPr>
                <w:bdr w:val="double" w:sz="6" w:space="1" w:color="000000"/>
              </w:rPr>
            </w:pPr>
            <w:r>
              <w:rPr>
                <w:bdr w:val="double" w:sz="6" w:space="1" w:color="000000"/>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0"/>
        <w:gridCol w:w="120"/>
        <w:gridCol w:w="259"/>
        <w:gridCol w:w="706"/>
        <w:gridCol w:w="60"/>
        <w:gridCol w:w="120"/>
        <w:gridCol w:w="187"/>
        <w:gridCol w:w="913"/>
        <w:gridCol w:w="60"/>
        <w:gridCol w:w="120"/>
        <w:gridCol w:w="233"/>
        <w:gridCol w:w="1137"/>
        <w:gridCol w:w="155"/>
        <w:gridCol w:w="60"/>
        <w:gridCol w:w="174"/>
        <w:gridCol w:w="791"/>
        <w:gridCol w:w="155"/>
        <w:gridCol w:w="60"/>
        <w:gridCol w:w="290"/>
        <w:gridCol w:w="1320"/>
        <w:gridCol w:w="155"/>
        <w:gridCol w:w="60"/>
        <w:gridCol w:w="234"/>
        <w:gridCol w:w="1144"/>
        <w:gridCol w:w="172"/>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Shareholders’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Balances, December 31, 2023</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35,345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52,415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(4,805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81,444</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(161</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 of taxes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(28</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550</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repurchased</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(80</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single" w:sz="2" w:space="1" w:color="000000"/>
              </w:rPr>
            </w:pPr>
            <w:r>
              <w:rPr>
                <w:bdr w:val="single" w:sz="2" w:space="1" w:color="000000"/>
              </w:rPr>
              <w:t> </w:t>
            </w:r>
          </w:p>
        </w:tc>
        <w:tc>
          <w:tcPr>
            <w:tcW w:w="70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9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Balances, March 31, 2024</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35,895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52,254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91" w:type="dxa"/>
            <w:tcBorders/>
            <w:vAlign w:val="center"/>
          </w:tcPr>
          <w:p>
            <w:pPr>
              <w:pStyle w:val="TableContents"/>
              <w:bidi w:val="0"/>
              <w:spacing w:before="0" w:after="283"/>
              <w:jc w:val="right"/>
              <w:rPr/>
            </w:pPr>
            <w:r>
              <w:rPr/>
              <w:t>(4,885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1320" w:type="dxa"/>
            <w:tcBorders/>
            <w:vAlign w:val="center"/>
          </w:tcPr>
          <w:p>
            <w:pPr>
              <w:pStyle w:val="TableContents"/>
              <w:bidi w:val="0"/>
              <w:spacing w:before="0" w:after="283"/>
              <w:jc w:val="right"/>
              <w:rPr/>
            </w:pPr>
            <w:r>
              <w:rPr/>
              <w:t>(1,672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81,725</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double" w:sz="6" w:space="1" w:color="000000"/>
              </w:rPr>
            </w:pPr>
            <w:r>
              <w:rPr>
                <w:bdr w:val="double" w:sz="6" w:space="1" w:color="000000"/>
              </w:rPr>
              <w:t> </w:t>
            </w:r>
          </w:p>
        </w:tc>
        <w:tc>
          <w:tcPr>
            <w:tcW w:w="70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9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double" w:sz="6" w:space="1" w:color="000000"/>
              </w:rPr>
            </w:pPr>
            <w:r>
              <w:rPr>
                <w:bdr w:val="double" w:sz="6" w:space="1" w:color="000000"/>
              </w:rPr>
              <w:t> </w:t>
            </w:r>
          </w:p>
        </w:tc>
        <w:tc>
          <w:tcPr>
            <w:tcW w:w="13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MASTECH DIGITAL,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0065" w:type="dxa"/>
        <w:jc w:val="left"/>
        <w:tblInd w:w="0" w:type="dxa"/>
        <w:tblLayout w:type="fixed"/>
        <w:tblCellMar>
          <w:top w:w="0" w:type="dxa"/>
          <w:left w:w="0" w:type="dxa"/>
          <w:bottom w:w="0" w:type="dxa"/>
          <w:right w:w="0" w:type="dxa"/>
        </w:tblCellMar>
      </w:tblPr>
      <w:tblGrid>
        <w:gridCol w:w="7565"/>
        <w:gridCol w:w="120"/>
        <w:gridCol w:w="166"/>
        <w:gridCol w:w="810"/>
        <w:gridCol w:w="184"/>
        <w:gridCol w:w="71"/>
        <w:gridCol w:w="166"/>
        <w:gridCol w:w="813"/>
        <w:gridCol w:w="170"/>
      </w:tblGrid>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right"/>
              <w:rPr/>
            </w:pPr>
            <w:r>
              <w:rPr/>
              <w:t>(1,439</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3" w:type="dxa"/>
            <w:tcBorders/>
            <w:vAlign w:val="center"/>
          </w:tcPr>
          <w:p>
            <w:pPr>
              <w:pStyle w:val="TableContents"/>
              <w:bidi w:val="0"/>
              <w:spacing w:before="0" w:after="283"/>
              <w:jc w:val="right"/>
              <w:rPr/>
            </w:pPr>
            <w:r>
              <w:rPr/>
              <w:t>(161</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832</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898</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Bad debt expense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(92</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amortization of deferred financing costs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24</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895</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550</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 net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15</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deferred compensation</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125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severance liability</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573</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deferred compensation</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(2,000</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Working capital items: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and unbilled receivables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(703</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(2,108</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(127</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(1,396</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(942</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816</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 and related costs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(302</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(371</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162</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407</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(111</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flows (used in) operating activities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(2,995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(1,326</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Recovery of (payment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(19</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(114</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(278</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flows (used in) investing activities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(133</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(278</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treasury stock</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(80</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27</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27</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(80</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24</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(39</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(3,077</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(1,723</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27,742</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21,147</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0"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8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right"/>
              <w:rPr/>
            </w:pPr>
            <w:r>
              <w:rPr/>
              <w:t>24,665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3" w:type="dxa"/>
            <w:tcBorders/>
            <w:vAlign w:val="center"/>
          </w:tcPr>
          <w:p>
            <w:pPr>
              <w:pStyle w:val="TableContents"/>
              <w:bidi w:val="0"/>
              <w:spacing w:before="0" w:after="283"/>
              <w:jc w:val="right"/>
              <w:rPr/>
            </w:pPr>
            <w:r>
              <w:rPr/>
              <w:t>19,424</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0" w:type="dxa"/>
            <w:tcBorders/>
            <w:vAlign w:val="center"/>
          </w:tcPr>
          <w:p>
            <w:pPr>
              <w:pStyle w:val="TableContents"/>
              <w:bidi w:val="0"/>
              <w:spacing w:before="0" w:after="0"/>
              <w:jc w:val="left"/>
              <w:rPr>
                <w:bdr w:val="double" w:sz="6" w:space="1" w:color="000000"/>
              </w:rPr>
            </w:pPr>
            <w:r>
              <w:rPr>
                <w:bdr w:val="double" w:sz="6"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81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MASTECH DIGITAL,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MARCH 31, 2025 AND 2024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215"/>
        <w:gridCol w:w="4265"/>
      </w:tblGrid>
      <w:tr>
        <w:trPr/>
        <w:tc>
          <w:tcPr>
            <w:tcW w:w="215" w:type="dxa"/>
            <w:tcBorders/>
            <w:vAlign w:val="center"/>
          </w:tcPr>
          <w:p>
            <w:pPr>
              <w:pStyle w:val="TableContents"/>
              <w:bidi w:val="0"/>
              <w:spacing w:before="0" w:after="0"/>
              <w:jc w:val="left"/>
              <w:rPr>
                <w:b/>
                <w:spacing w:val="0"/>
              </w:rPr>
            </w:pPr>
            <w:r>
              <w:rPr>
                <w:b/>
                <w:spacing w:val="0"/>
              </w:rPr>
              <w:t>1.</w:t>
            </w:r>
          </w:p>
        </w:tc>
        <w:tc>
          <w:tcPr>
            <w:tcW w:w="4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and Basis of Presentation: </w:t>
            </w:r>
          </w:p>
        </w:tc>
      </w:tr>
    </w:tbl>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References in this Quarterly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to “we”, “our”, “Mastech Digital”, “Mastech” or “the Company” refer collectively to Mastech Digital, Inc. and its wholly owned operating subsidiaries, which are included in these Condensed Consolidated Financial Statements (the “Financial Statements”).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provider of Digital Transformation IT Services to mostly large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medium-sized</w:t>
      </w:r>
    </w:p>
    <w:p>
      <w:pPr>
        <w:pStyle w:val="TextBody"/>
        <w:bidi w:val="0"/>
        <w:spacing w:before="120" w:after="0"/>
        <w:jc w:val="left"/>
        <w:rPr>
          <w:rFonts w:ascii="Times New Roman" w:hAnsi="Times New Roman"/>
          <w:sz w:val="20"/>
        </w:rPr>
      </w:pPr>
      <w:r>
        <w:rPr>
          <w:rFonts w:ascii="Times New Roman" w:hAnsi="Times New Roman"/>
          <w:sz w:val="20"/>
        </w:rPr>
        <w:t xml:space="preserve">organizations.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of offerings includes data management and analytics services, digital learning services and IT staffing services. </w:t>
      </w:r>
    </w:p>
    <w:p>
      <w:pPr>
        <w:pStyle w:val="TextBody"/>
        <w:bidi w:val="0"/>
        <w:spacing w:before="240" w:after="0"/>
        <w:jc w:val="left"/>
        <w:rPr>
          <w:rFonts w:ascii="Times New Roman" w:hAnsi="Times New Roman"/>
          <w:sz w:val="20"/>
        </w:rPr>
      </w:pPr>
      <w:r>
        <w:rPr>
          <w:rFonts w:ascii="Times New Roman" w:hAnsi="Times New Roman"/>
          <w:sz w:val="20"/>
        </w:rPr>
        <w:t xml:space="preserve">With our 2017 acquisition of the services division of Canada-based InfoTrellis, Inc. (“InfoTrellis”),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on-site</w:t>
      </w:r>
    </w:p>
    <w:p>
      <w:pPr>
        <w:pStyle w:val="TextBody"/>
        <w:bidi w:val="0"/>
        <w:spacing w:before="240" w:after="0"/>
        <w:jc w:val="left"/>
        <w:rPr>
          <w:rFonts w:ascii="Times New Roman" w:hAnsi="Times New Roman"/>
          <w:sz w:val="20"/>
        </w:rPr>
      </w:pPr>
      <w:r>
        <w:rPr>
          <w:rFonts w:ascii="Times New Roman" w:hAnsi="Times New Roman"/>
          <w:sz w:val="20"/>
        </w:rPr>
        <w:t xml:space="preserve">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 </w:t>
      </w:r>
    </w:p>
    <w:p>
      <w:pPr>
        <w:pStyle w:val="TextBody"/>
        <w:bidi w:val="0"/>
        <w:spacing w:before="240" w:after="0"/>
        <w:jc w:val="left"/>
        <w:rPr>
          <w:rFonts w:ascii="Times New Roman" w:hAnsi="Times New Roman"/>
          <w:sz w:val="20"/>
        </w:rPr>
      </w:pPr>
      <w:r>
        <w:rPr>
          <w:rFonts w:ascii="Times New Roman" w:hAnsi="Times New Roman"/>
          <w:sz w:val="20"/>
        </w:rPr>
        <w:t xml:space="preserve">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2024, included in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March 14, 2025. Additionally, our operating results for the three months ended March 31, 2025, are not necessarily indicative of the results that can be expected for the year ending December 31, 2025 or for any other period.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include the accounts of the Company and its wholly-owned subsidiaries. All material intercompany transactions and balances have been eliminated in consolidation.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Note 1 “Summary of Significant Accounting Policies” of the Consolidated Financial Statements and “Management’s Discussion and Analysis of Financial Condition and Results of Operations–Critical Accounting Policies and Estimates” in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for a more detailed discussion of our significant accounting policies and critical accounting estimates. There were no material changes to these critical accounting policies during the three months ended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pacing w:val="0"/>
          <w:sz w:val="20"/>
        </w:rPr>
      </w:pPr>
      <w:r>
        <w:rPr>
          <w:rFonts w:ascii="Times New Roman" w:hAnsi="Times New Roman"/>
          <w:b/>
          <w:i/>
          <w:spacing w:val="0"/>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reportable segments, in accordance with Accounting Standards Committee (“ASC”) Topic 280 “Disclosures About Segments of an Enterprise and Related Information”: Data and Analytics Services and IT Staffing Services.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215"/>
        <w:gridCol w:w="3485"/>
      </w:tblGrid>
      <w:tr>
        <w:trPr/>
        <w:tc>
          <w:tcPr>
            <w:tcW w:w="215" w:type="dxa"/>
            <w:tcBorders/>
            <w:vAlign w:val="center"/>
          </w:tcPr>
          <w:p>
            <w:pPr>
              <w:pStyle w:val="TableContents"/>
              <w:bidi w:val="0"/>
              <w:spacing w:before="0" w:after="0"/>
              <w:jc w:val="left"/>
              <w:rPr>
                <w:b/>
                <w:spacing w:val="0"/>
              </w:rPr>
            </w:pPr>
            <w:r>
              <w:rPr>
                <w:b/>
                <w:spacing w:val="0"/>
              </w:rPr>
              <w:t>2.</w:t>
            </w:r>
          </w:p>
        </w:tc>
        <w:tc>
          <w:tcPr>
            <w:tcW w:w="34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time-and-material</w:t>
      </w:r>
    </w:p>
    <w:p>
      <w:pPr>
        <w:pStyle w:val="TextBody"/>
        <w:bidi w:val="0"/>
        <w:spacing w:before="120" w:after="0"/>
        <w:jc w:val="left"/>
        <w:rPr>
          <w:rFonts w:ascii="Times New Roman" w:hAnsi="Times New Roman"/>
          <w:sz w:val="20"/>
        </w:rPr>
      </w:pPr>
      <w:r>
        <w:rPr>
          <w:rFonts w:ascii="Times New Roman" w:hAnsi="Times New Roman"/>
          <w:sz w:val="20"/>
        </w:rPr>
        <w:t xml:space="preserve">contracts over time as services are performed and expenses are incurred.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Time-and-material</w:t>
      </w:r>
    </w:p>
    <w:p>
      <w:pPr>
        <w:pStyle w:val="TextBody"/>
        <w:bidi w:val="0"/>
        <w:spacing w:before="120" w:after="0"/>
        <w:jc w:val="left"/>
        <w:rPr>
          <w:rFonts w:ascii="Times New Roman" w:hAnsi="Times New Roman"/>
          <w:sz w:val="20"/>
        </w:rPr>
      </w:pPr>
      <w:r>
        <w:rPr>
          <w:rFonts w:ascii="Times New Roman" w:hAnsi="Times New Roman"/>
          <w:sz w:val="20"/>
        </w:rPr>
        <w:t xml:space="preserve">contracts typically bill at an agreed-upon hourly rate, plus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120" w:after="0"/>
        <w:jc w:val="left"/>
        <w:rPr>
          <w:rFonts w:ascii="Times New Roman" w:hAnsi="Times New Roman"/>
          <w:sz w:val="20"/>
        </w:rPr>
      </w:pPr>
      <w:r>
        <w:rPr>
          <w:rFonts w:ascii="Times New Roman" w:hAnsi="Times New Roman"/>
          <w:sz w:val="20"/>
        </w:rPr>
        <w:t xml:space="preserve">expense reimbursement.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120" w:after="0"/>
        <w:jc w:val="left"/>
        <w:rPr>
          <w:rFonts w:ascii="Times New Roman" w:hAnsi="Times New Roman"/>
          <w:sz w:val="20"/>
        </w:rPr>
      </w:pPr>
      <w:r>
        <w:rPr>
          <w:rFonts w:ascii="Times New Roman" w:hAnsi="Times New Roman"/>
          <w:sz w:val="20"/>
        </w:rPr>
        <w:t xml:space="preserve">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time-and-material</w:t>
      </w:r>
    </w:p>
    <w:p>
      <w:pPr>
        <w:pStyle w:val="TextBody"/>
        <w:bidi w:val="0"/>
        <w:spacing w:before="240" w:after="0"/>
        <w:jc w:val="left"/>
        <w:rPr>
          <w:rFonts w:ascii="Times New Roman" w:hAnsi="Times New Roman"/>
          <w:sz w:val="20"/>
        </w:rPr>
      </w:pPr>
      <w:r>
        <w:rPr>
          <w:rFonts w:ascii="Times New Roman" w:hAnsi="Times New Roman"/>
          <w:sz w:val="20"/>
        </w:rPr>
        <w:t xml:space="preserve">and fixed price revenue streams are recognized over time as the customer receives and consumes the benefits of the Company’s performance as the work is performed. </w:t>
      </w:r>
    </w:p>
    <w:p>
      <w:pPr>
        <w:pStyle w:val="TextBody"/>
        <w:bidi w:val="0"/>
        <w:spacing w:before="240" w:after="0"/>
        <w:jc w:val="left"/>
        <w:rPr>
          <w:rFonts w:ascii="Times New Roman" w:hAnsi="Times New Roman"/>
          <w:sz w:val="20"/>
        </w:rPr>
      </w:pPr>
      <w:r>
        <w:rPr>
          <w:rFonts w:ascii="Times New Roman" w:hAnsi="Times New Roman"/>
          <w:sz w:val="20"/>
        </w:rPr>
        <w:t xml:space="preserve">In certain situations related to client direct hire assignments, where the Company’s fee is contingent upon the hired resources continued employment with the client, revenue is not fully recognized until such employment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Our Data and Analytics Services segment provides specialized capabilities in delivering data management and analytics services to its customers globally. This business offers project-based consulting services in the areas of Master Data Management, Enterprise Data Integration, Big Data, Analytics and Digital Transformation, which can be delivered using onsite and offshore resources. </w:t>
      </w:r>
    </w:p>
    <w:p>
      <w:pPr>
        <w:pStyle w:val="TextBody"/>
        <w:bidi w:val="0"/>
        <w:spacing w:before="240" w:after="0"/>
        <w:jc w:val="left"/>
        <w:rPr>
          <w:rFonts w:ascii="Times New Roman" w:hAnsi="Times New Roman"/>
          <w:sz w:val="20"/>
        </w:rPr>
      </w:pPr>
      <w:r>
        <w:rPr>
          <w:rFonts w:ascii="Times New Roman" w:hAnsi="Times New Roman"/>
          <w:sz w:val="20"/>
        </w:rPr>
        <w:t xml:space="preserve">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e-Business</w:t>
      </w:r>
    </w:p>
    <w:p>
      <w:pPr>
        <w:pStyle w:val="TextBody"/>
        <w:bidi w:val="0"/>
        <w:spacing w:before="240" w:after="0"/>
        <w:jc w:val="left"/>
        <w:rPr>
          <w:rFonts w:ascii="Times New Roman" w:hAnsi="Times New Roman"/>
          <w:sz w:val="20"/>
        </w:rPr>
      </w:pPr>
      <w:r>
        <w:rPr>
          <w:rFonts w:ascii="Times New Roman" w:hAnsi="Times New Roman"/>
          <w:sz w:val="20"/>
        </w:rPr>
        <w:t xml:space="preserve">solutions. We work with businesses and institutions with significant IT spend and recurring staffing needs. We also support smaller organizations with their “project focused” temporary IT staffing requirements. In late 2023, we expanded our service offerings to include engineering staffing services. Substantially all of our revenue is recognized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depicts the disaggregation of our revenues by contract type and operating segment: </w:t>
      </w:r>
    </w:p>
    <w:p>
      <w:pPr>
        <w:pStyle w:val="TextBody"/>
        <w:bidi w:val="0"/>
        <w:spacing w:before="0" w:after="0"/>
        <w:jc w:val="left"/>
        <w:rPr/>
      </w:pPr>
      <w:r>
        <w:rPr/>
        <w:t> </w:t>
      </w:r>
    </w:p>
    <w:tbl>
      <w:tblPr>
        <w:tblW w:w="5798" w:type="dxa"/>
        <w:jc w:val="left"/>
        <w:tblInd w:w="0" w:type="dxa"/>
        <w:tblLayout w:type="fixed"/>
        <w:tblCellMar>
          <w:top w:w="0" w:type="dxa"/>
          <w:left w:w="0" w:type="dxa"/>
          <w:bottom w:w="0" w:type="dxa"/>
          <w:right w:w="0" w:type="dxa"/>
        </w:tblCellMar>
      </w:tblPr>
      <w:tblGrid>
        <w:gridCol w:w="3155"/>
        <w:gridCol w:w="120"/>
        <w:gridCol w:w="187"/>
        <w:gridCol w:w="914"/>
        <w:gridCol w:w="79"/>
        <w:gridCol w:w="159"/>
        <w:gridCol w:w="187"/>
        <w:gridCol w:w="922"/>
        <w:gridCol w:w="75"/>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Data and Analytics Services Segment</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4"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Time-and-material</w:t>
            </w:r>
          </w:p>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4" w:type="dxa"/>
            <w:tcBorders/>
            <w:vAlign w:val="center"/>
          </w:tcPr>
          <w:p>
            <w:pPr>
              <w:pStyle w:val="TableContents"/>
              <w:bidi w:val="0"/>
              <w:spacing w:before="0" w:after="283"/>
              <w:jc w:val="right"/>
              <w:rPr/>
            </w:pPr>
            <w:r>
              <w:rPr/>
              <w:t>5,648</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6,111</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Fixed-price Contracts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3,312</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1,956</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4" w:type="dxa"/>
            <w:tcBorders/>
            <w:vAlign w:val="center"/>
          </w:tcPr>
          <w:p>
            <w:pPr>
              <w:pStyle w:val="TableContents"/>
              <w:bidi w:val="0"/>
              <w:spacing w:before="0" w:after="0"/>
              <w:jc w:val="left"/>
              <w:rPr>
                <w:bdr w:val="single" w:sz="2" w:space="1" w:color="000000"/>
              </w:rPr>
            </w:pPr>
            <w:r>
              <w:rPr>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Data and Analytics Services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14" w:type="dxa"/>
            <w:tcBorders/>
            <w:vAlign w:val="center"/>
          </w:tcPr>
          <w:p>
            <w:pPr>
              <w:pStyle w:val="TableContents"/>
              <w:bidi w:val="0"/>
              <w:spacing w:before="0" w:after="0"/>
              <w:jc w:val="right"/>
              <w:rPr>
                <w:b/>
                <w:spacing w:val="0"/>
              </w:rPr>
            </w:pPr>
            <w:r>
              <w:rPr>
                <w:b/>
                <w:spacing w:val="0"/>
              </w:rPr>
              <w:t>8,960</w:t>
            </w:r>
          </w:p>
        </w:tc>
        <w:tc>
          <w:tcPr>
            <w:tcW w:w="79" w:type="dxa"/>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22" w:type="dxa"/>
            <w:tcBorders/>
            <w:vAlign w:val="center"/>
          </w:tcPr>
          <w:p>
            <w:pPr>
              <w:pStyle w:val="TableContents"/>
              <w:bidi w:val="0"/>
              <w:spacing w:before="0" w:after="0"/>
              <w:jc w:val="right"/>
              <w:rPr>
                <w:b/>
                <w:spacing w:val="0"/>
              </w:rPr>
            </w:pPr>
            <w:r>
              <w:rPr>
                <w:b/>
                <w:spacing w:val="0"/>
              </w:rPr>
              <w:t>8,067</w:t>
            </w:r>
          </w:p>
        </w:tc>
        <w:tc>
          <w:tcPr>
            <w:tcW w:w="75" w:type="dxa"/>
            <w:tcBorders/>
            <w:vAlign w:val="center"/>
          </w:tcPr>
          <w:p>
            <w:pPr>
              <w:pStyle w:val="TableContents"/>
              <w:bidi w:val="0"/>
              <w:spacing w:before="0" w:after="0"/>
              <w:jc w:val="left"/>
              <w:rPr>
                <w:spacing w:val="0"/>
              </w:rPr>
            </w:pPr>
            <w:r>
              <w:rPr>
                <w:spacing w:val="0"/>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4" w:type="dxa"/>
            <w:tcBorders/>
            <w:vAlign w:val="center"/>
          </w:tcPr>
          <w:p>
            <w:pPr>
              <w:pStyle w:val="TableContents"/>
              <w:bidi w:val="0"/>
              <w:spacing w:before="0" w:after="0"/>
              <w:jc w:val="left"/>
              <w:rPr>
                <w:bdr w:val="double" w:sz="6" w:space="1" w:color="000000"/>
              </w:rPr>
            </w:pPr>
            <w:r>
              <w:rPr>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2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2643" w:type="dxa"/>
            <w:gridSpan w:val="8"/>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IT Staffing Services Segment</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4"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Time-and-material</w:t>
            </w:r>
          </w:p>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4" w:type="dxa"/>
            <w:tcBorders/>
            <w:vAlign w:val="center"/>
          </w:tcPr>
          <w:p>
            <w:pPr>
              <w:pStyle w:val="TableContents"/>
              <w:bidi w:val="0"/>
              <w:spacing w:before="0" w:after="283"/>
              <w:jc w:val="right"/>
              <w:rPr/>
            </w:pPr>
            <w:r>
              <w:rPr/>
              <w:t>39,357</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38,756</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Fixed-price Contracts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4" w:type="dxa"/>
            <w:tcBorders/>
            <w:vAlign w:val="center"/>
          </w:tcPr>
          <w:p>
            <w:pPr>
              <w:pStyle w:val="TableContents"/>
              <w:bidi w:val="0"/>
              <w:spacing w:before="0" w:after="0"/>
              <w:jc w:val="left"/>
              <w:rPr>
                <w:bdr w:val="single" w:sz="2" w:space="1" w:color="000000"/>
              </w:rPr>
            </w:pPr>
            <w:r>
              <w:rPr>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IT Staffing Services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14" w:type="dxa"/>
            <w:tcBorders/>
            <w:vAlign w:val="center"/>
          </w:tcPr>
          <w:p>
            <w:pPr>
              <w:pStyle w:val="TableContents"/>
              <w:bidi w:val="0"/>
              <w:spacing w:before="0" w:after="0"/>
              <w:jc w:val="right"/>
              <w:rPr>
                <w:b/>
                <w:spacing w:val="0"/>
              </w:rPr>
            </w:pPr>
            <w:r>
              <w:rPr>
                <w:b/>
                <w:spacing w:val="0"/>
              </w:rPr>
              <w:t>39,357</w:t>
            </w:r>
          </w:p>
        </w:tc>
        <w:tc>
          <w:tcPr>
            <w:tcW w:w="79" w:type="dxa"/>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22" w:type="dxa"/>
            <w:tcBorders/>
            <w:vAlign w:val="center"/>
          </w:tcPr>
          <w:p>
            <w:pPr>
              <w:pStyle w:val="TableContents"/>
              <w:bidi w:val="0"/>
              <w:spacing w:before="0" w:after="0"/>
              <w:jc w:val="right"/>
              <w:rPr>
                <w:b/>
                <w:spacing w:val="0"/>
              </w:rPr>
            </w:pPr>
            <w:r>
              <w:rPr>
                <w:b/>
                <w:spacing w:val="0"/>
              </w:rPr>
              <w:t>38,756</w:t>
            </w:r>
          </w:p>
        </w:tc>
        <w:tc>
          <w:tcPr>
            <w:tcW w:w="75" w:type="dxa"/>
            <w:tcBorders/>
            <w:vAlign w:val="center"/>
          </w:tcPr>
          <w:p>
            <w:pPr>
              <w:pStyle w:val="TableContents"/>
              <w:bidi w:val="0"/>
              <w:spacing w:before="0" w:after="0"/>
              <w:jc w:val="left"/>
              <w:rPr>
                <w:spacing w:val="0"/>
              </w:rPr>
            </w:pPr>
            <w:r>
              <w:rPr>
                <w:spacing w:val="0"/>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4" w:type="dxa"/>
            <w:tcBorders/>
            <w:vAlign w:val="center"/>
          </w:tcPr>
          <w:p>
            <w:pPr>
              <w:pStyle w:val="TableContents"/>
              <w:bidi w:val="0"/>
              <w:spacing w:before="0" w:after="0"/>
              <w:jc w:val="left"/>
              <w:rPr>
                <w:bdr w:val="double" w:sz="6" w:space="1" w:color="000000"/>
              </w:rPr>
            </w:pPr>
            <w:r>
              <w:rPr>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2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0"/>
              <w:jc w:val="left"/>
              <w:rPr>
                <w:b/>
                <w:spacing w:val="0"/>
              </w:rPr>
            </w:pPr>
            <w:r>
              <w:rPr>
                <w:b/>
                <w:spacing w:val="0"/>
              </w:rPr>
              <w:t>$</w:t>
            </w:r>
          </w:p>
        </w:tc>
        <w:tc>
          <w:tcPr>
            <w:tcW w:w="914" w:type="dxa"/>
            <w:tcBorders/>
            <w:shd w:fill="CCEEFF" w:val="clear"/>
            <w:vAlign w:val="center"/>
          </w:tcPr>
          <w:p>
            <w:pPr>
              <w:pStyle w:val="TableContents"/>
              <w:bidi w:val="0"/>
              <w:spacing w:before="0" w:after="0"/>
              <w:jc w:val="right"/>
              <w:rPr>
                <w:b/>
                <w:spacing w:val="0"/>
              </w:rPr>
            </w:pPr>
            <w:r>
              <w:rPr>
                <w:b/>
                <w:spacing w:val="0"/>
              </w:rPr>
              <w:t>48,317</w:t>
            </w:r>
          </w:p>
        </w:tc>
        <w:tc>
          <w:tcPr>
            <w:tcW w:w="79" w:type="dxa"/>
            <w:tcBorders/>
            <w:shd w:fill="CCEEFF" w:val="clear"/>
            <w:vAlign w:val="center"/>
          </w:tcPr>
          <w:p>
            <w:pPr>
              <w:pStyle w:val="TableContents"/>
              <w:bidi w:val="0"/>
              <w:spacing w:before="0" w:after="0"/>
              <w:jc w:val="left"/>
              <w:rPr>
                <w:spacing w:val="0"/>
              </w:rPr>
            </w:pPr>
            <w:r>
              <w:rPr>
                <w:spacing w:val="0"/>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0"/>
              <w:jc w:val="left"/>
              <w:rPr>
                <w:b/>
                <w:spacing w:val="0"/>
              </w:rPr>
            </w:pPr>
            <w:r>
              <w:rPr>
                <w:b/>
                <w:spacing w:val="0"/>
              </w:rPr>
              <w:t>$</w:t>
            </w:r>
          </w:p>
        </w:tc>
        <w:tc>
          <w:tcPr>
            <w:tcW w:w="922" w:type="dxa"/>
            <w:tcBorders/>
            <w:shd w:fill="CCEEFF" w:val="clear"/>
            <w:vAlign w:val="center"/>
          </w:tcPr>
          <w:p>
            <w:pPr>
              <w:pStyle w:val="TableContents"/>
              <w:bidi w:val="0"/>
              <w:spacing w:before="0" w:after="0"/>
              <w:jc w:val="right"/>
              <w:rPr>
                <w:b/>
                <w:spacing w:val="0"/>
              </w:rPr>
            </w:pPr>
            <w:r>
              <w:rPr>
                <w:b/>
                <w:spacing w:val="0"/>
              </w:rPr>
              <w:t>46,823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4" w:type="dxa"/>
            <w:tcBorders/>
            <w:vAlign w:val="center"/>
          </w:tcPr>
          <w:p>
            <w:pPr>
              <w:pStyle w:val="TableContents"/>
              <w:bidi w:val="0"/>
              <w:spacing w:before="0" w:after="0"/>
              <w:jc w:val="left"/>
              <w:rPr>
                <w:bdr w:val="double" w:sz="6" w:space="1" w:color="000000"/>
              </w:rPr>
            </w:pPr>
            <w:r>
              <w:rPr>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2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the Company had three clients (Fidelity=12.9%, CGI=11.9%, Populus=11.7%) that each exceeded 10% of total revenues. For the three months ended March 31, 2024, the Company had one client (CGI =17.4%) that exceeded 10% of total revenues.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top ten clients represented approximately 56% and 51% of total revenues for the three months ended March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our revenue from external customers disaggregated by geography, based on the work location of our customers: </w:t>
      </w:r>
    </w:p>
    <w:p>
      <w:pPr>
        <w:pStyle w:val="TextBody"/>
        <w:bidi w:val="0"/>
        <w:spacing w:before="0" w:after="0"/>
        <w:jc w:val="left"/>
        <w:rPr/>
      </w:pPr>
      <w:r>
        <w:rPr/>
        <w:t> </w:t>
      </w:r>
    </w:p>
    <w:tbl>
      <w:tblPr>
        <w:tblW w:w="3981" w:type="dxa"/>
        <w:jc w:val="left"/>
        <w:tblInd w:w="0" w:type="dxa"/>
        <w:tblLayout w:type="fixed"/>
        <w:tblCellMar>
          <w:top w:w="0" w:type="dxa"/>
          <w:left w:w="0" w:type="dxa"/>
          <w:bottom w:w="0" w:type="dxa"/>
          <w:right w:w="0" w:type="dxa"/>
        </w:tblCellMar>
      </w:tblPr>
      <w:tblGrid>
        <w:gridCol w:w="1340"/>
        <w:gridCol w:w="120"/>
        <w:gridCol w:w="187"/>
        <w:gridCol w:w="913"/>
        <w:gridCol w:w="79"/>
        <w:gridCol w:w="159"/>
        <w:gridCol w:w="187"/>
        <w:gridCol w:w="921"/>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47,752</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21" w:type="dxa"/>
            <w:tcBorders/>
            <w:shd w:fill="CCEEFF" w:val="clear"/>
            <w:vAlign w:val="center"/>
          </w:tcPr>
          <w:p>
            <w:pPr>
              <w:pStyle w:val="TableContents"/>
              <w:bidi w:val="0"/>
              <w:spacing w:before="0" w:after="283"/>
              <w:jc w:val="right"/>
              <w:rPr/>
            </w:pPr>
            <w:r>
              <w:rPr/>
              <w:t>46,116</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130</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294</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 and other</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435</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413</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2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13" w:type="dxa"/>
            <w:tcBorders/>
            <w:vAlign w:val="center"/>
          </w:tcPr>
          <w:p>
            <w:pPr>
              <w:pStyle w:val="TableContents"/>
              <w:bidi w:val="0"/>
              <w:spacing w:before="0" w:after="0"/>
              <w:jc w:val="right"/>
              <w:rPr>
                <w:b/>
                <w:spacing w:val="0"/>
              </w:rPr>
            </w:pPr>
            <w:r>
              <w:rPr>
                <w:b/>
                <w:spacing w:val="0"/>
              </w:rPr>
              <w:t>48,317</w:t>
            </w:r>
          </w:p>
        </w:tc>
        <w:tc>
          <w:tcPr>
            <w:tcW w:w="79" w:type="dxa"/>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21" w:type="dxa"/>
            <w:tcBorders/>
            <w:vAlign w:val="center"/>
          </w:tcPr>
          <w:p>
            <w:pPr>
              <w:pStyle w:val="TableContents"/>
              <w:bidi w:val="0"/>
              <w:spacing w:before="0" w:after="0"/>
              <w:jc w:val="right"/>
              <w:rPr>
                <w:b/>
                <w:spacing w:val="0"/>
              </w:rPr>
            </w:pPr>
            <w:r>
              <w:rPr>
                <w:b/>
                <w:spacing w:val="0"/>
              </w:rPr>
              <w:t>46,823</w:t>
            </w:r>
          </w:p>
        </w:tc>
        <w:tc>
          <w:tcPr>
            <w:tcW w:w="75" w:type="dxa"/>
            <w:tcBorders/>
            <w:vAlign w:val="center"/>
          </w:tcPr>
          <w:p>
            <w:pPr>
              <w:pStyle w:val="TableContents"/>
              <w:bidi w:val="0"/>
              <w:spacing w:before="0" w:after="0"/>
              <w:jc w:val="left"/>
              <w:rPr>
                <w:spacing w:val="0"/>
              </w:rPr>
            </w:pPr>
            <w:r>
              <w:rPr>
                <w:spacing w:val="0"/>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2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215"/>
        <w:gridCol w:w="3605"/>
      </w:tblGrid>
      <w:tr>
        <w:trPr/>
        <w:tc>
          <w:tcPr>
            <w:tcW w:w="215" w:type="dxa"/>
            <w:tcBorders/>
            <w:vAlign w:val="center"/>
          </w:tcPr>
          <w:p>
            <w:pPr>
              <w:pStyle w:val="TableContents"/>
              <w:bidi w:val="0"/>
              <w:spacing w:before="0" w:after="0"/>
              <w:jc w:val="left"/>
              <w:rPr>
                <w:b/>
                <w:spacing w:val="0"/>
              </w:rPr>
            </w:pPr>
            <w:r>
              <w:rPr>
                <w:b/>
                <w:spacing w:val="0"/>
              </w:rPr>
              <w:t>3.</w:t>
            </w:r>
          </w:p>
        </w:tc>
        <w:tc>
          <w:tcPr>
            <w:tcW w:w="36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and Other Intangible Assets,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of $8.4 million related to our IT Staffing Services segment resulted from the 2015 acquisition of Hudson Global Resources Management’s U.S. IT staffing business.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beginning and ending amounts of goodwill by operating segment for the periods ended March 31, 2025, and December 31, 2024 is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5700" w:type="dxa"/>
        <w:jc w:val="left"/>
        <w:tblInd w:w="0" w:type="dxa"/>
        <w:tblLayout w:type="fixed"/>
        <w:tblCellMar>
          <w:top w:w="0" w:type="dxa"/>
          <w:left w:w="0" w:type="dxa"/>
          <w:bottom w:w="0" w:type="dxa"/>
          <w:right w:w="0" w:type="dxa"/>
        </w:tblCellMar>
      </w:tblPr>
      <w:tblGrid>
        <w:gridCol w:w="1760"/>
        <w:gridCol w:w="120"/>
        <w:gridCol w:w="322"/>
        <w:gridCol w:w="1288"/>
        <w:gridCol w:w="60"/>
        <w:gridCol w:w="120"/>
        <w:gridCol w:w="391"/>
        <w:gridCol w:w="1564"/>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Twelve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5"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8,427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8,427</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 recorded</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single" w:sz="2" w:space="1" w:color="000000"/>
              </w:rPr>
            </w:pPr>
            <w:r>
              <w:rPr>
                <w:bdr w:val="single" w:sz="2" w:space="1" w:color="000000"/>
              </w:rPr>
              <w:t> </w:t>
            </w:r>
          </w:p>
        </w:tc>
        <w:tc>
          <w:tcPr>
            <w:tcW w:w="128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bdr w:val="single" w:sz="2" w:space="1" w:color="000000"/>
              </w:rPr>
            </w:pPr>
            <w:r>
              <w:rPr>
                <w:bdr w:val="single" w:sz="2" w:space="1" w:color="000000"/>
              </w:rPr>
              <w:t> </w:t>
            </w:r>
          </w:p>
        </w:tc>
        <w:tc>
          <w:tcPr>
            <w:tcW w:w="156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8,427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8,427</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double" w:sz="6" w:space="1" w:color="000000"/>
              </w:rPr>
            </w:pPr>
            <w:r>
              <w:rPr>
                <w:bdr w:val="double" w:sz="6" w:space="1" w:color="000000"/>
              </w:rPr>
              <w:t> </w:t>
            </w:r>
          </w:p>
        </w:tc>
        <w:tc>
          <w:tcPr>
            <w:tcW w:w="128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bdr w:val="double" w:sz="6" w:space="1" w:color="000000"/>
              </w:rPr>
            </w:pPr>
            <w:r>
              <w:rPr>
                <w:bdr w:val="double" w:sz="6" w:space="1" w:color="000000"/>
              </w:rPr>
              <w:t> </w:t>
            </w:r>
          </w:p>
        </w:tc>
        <w:tc>
          <w:tcPr>
            <w:tcW w:w="156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390" w:type="dxa"/>
        <w:jc w:val="left"/>
        <w:tblInd w:w="0" w:type="dxa"/>
        <w:tblLayout w:type="fixed"/>
        <w:tblCellMar>
          <w:top w:w="0" w:type="dxa"/>
          <w:left w:w="0" w:type="dxa"/>
          <w:bottom w:w="0" w:type="dxa"/>
          <w:right w:w="0" w:type="dxa"/>
        </w:tblCellMar>
      </w:tblPr>
      <w:tblGrid>
        <w:gridCol w:w="2450"/>
        <w:gridCol w:w="120"/>
        <w:gridCol w:w="274"/>
        <w:gridCol w:w="1336"/>
        <w:gridCol w:w="60"/>
        <w:gridCol w:w="120"/>
        <w:gridCol w:w="333"/>
        <w:gridCol w:w="1622"/>
        <w:gridCol w:w="75"/>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Twelve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5"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18,783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18,783</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 recorded</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18,783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18,783</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amortizing the identifiable intangible assets on a straight-line basis over estimated average lives ranging from 3 to 12 years. Identifiable intangible assets were comprised of the following as of March 31, 2025 and December 31, 2024: </w:t>
      </w:r>
    </w:p>
    <w:p>
      <w:pPr>
        <w:pStyle w:val="TextBody"/>
        <w:bidi w:val="0"/>
        <w:spacing w:before="0" w:after="0"/>
        <w:jc w:val="left"/>
        <w:rPr/>
      </w:pPr>
      <w:r>
        <w:rPr/>
        <w:t> </w:t>
      </w:r>
    </w:p>
    <w:tbl>
      <w:tblPr>
        <w:tblW w:w="9384" w:type="dxa"/>
        <w:jc w:val="left"/>
        <w:tblInd w:w="0" w:type="dxa"/>
        <w:tblLayout w:type="fixed"/>
        <w:tblCellMar>
          <w:top w:w="0" w:type="dxa"/>
          <w:left w:w="0" w:type="dxa"/>
          <w:bottom w:w="0" w:type="dxa"/>
          <w:right w:w="0" w:type="dxa"/>
        </w:tblCellMar>
      </w:tblPr>
      <w:tblGrid>
        <w:gridCol w:w="2450"/>
        <w:gridCol w:w="120"/>
        <w:gridCol w:w="335"/>
        <w:gridCol w:w="1454"/>
        <w:gridCol w:w="60"/>
        <w:gridCol w:w="120"/>
        <w:gridCol w:w="274"/>
        <w:gridCol w:w="1336"/>
        <w:gridCol w:w="60"/>
        <w:gridCol w:w="120"/>
        <w:gridCol w:w="241"/>
        <w:gridCol w:w="1174"/>
        <w:gridCol w:w="60"/>
        <w:gridCol w:w="120"/>
        <w:gridCol w:w="277"/>
        <w:gridCol w:w="1108"/>
        <w:gridCol w:w="75"/>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9"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March 31, 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(Amounts in thousands)</w:t>
            </w:r>
          </w:p>
        </w:tc>
        <w:tc>
          <w:tcPr>
            <w:tcW w:w="12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r>
          </w:p>
          <w:p>
            <w:pPr>
              <w:pStyle w:val="TableContents"/>
              <w:bidi w:val="0"/>
              <w:spacing w:before="0" w:after="0"/>
              <w:jc w:val="center"/>
              <w:rPr/>
            </w:pPr>
            <w:r>
              <w:rPr/>
            </w:r>
          </w:p>
          <w:p>
            <w:pPr>
              <w:pStyle w:val="TableContents"/>
              <w:bidi w:val="0"/>
              <w:spacing w:before="0" w:after="0"/>
              <w:jc w:val="center"/>
              <w:rPr>
                <w:b/>
                <w:spacing w:val="0"/>
              </w:rPr>
            </w:pPr>
            <w:r>
              <w:rPr>
                <w:b/>
                <w:spacing w:val="0"/>
              </w:rPr>
              <w:t>Period (In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Accumulative</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7,999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6,528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1,471</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19,641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11,821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7,820</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1,157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1,662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274</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Intangible Assets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33,099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23,441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9,658</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384" w:type="dxa"/>
        <w:jc w:val="left"/>
        <w:tblInd w:w="0" w:type="dxa"/>
        <w:tblLayout w:type="fixed"/>
        <w:tblCellMar>
          <w:top w:w="0" w:type="dxa"/>
          <w:left w:w="0" w:type="dxa"/>
          <w:bottom w:w="0" w:type="dxa"/>
          <w:right w:w="0" w:type="dxa"/>
        </w:tblCellMar>
      </w:tblPr>
      <w:tblGrid>
        <w:gridCol w:w="2450"/>
        <w:gridCol w:w="120"/>
        <w:gridCol w:w="335"/>
        <w:gridCol w:w="1454"/>
        <w:gridCol w:w="60"/>
        <w:gridCol w:w="120"/>
        <w:gridCol w:w="274"/>
        <w:gridCol w:w="1336"/>
        <w:gridCol w:w="60"/>
        <w:gridCol w:w="120"/>
        <w:gridCol w:w="241"/>
        <w:gridCol w:w="1174"/>
        <w:gridCol w:w="60"/>
        <w:gridCol w:w="120"/>
        <w:gridCol w:w="236"/>
        <w:gridCol w:w="1149"/>
        <w:gridCol w:w="75"/>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9"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2024</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(Amounts in thousands)</w:t>
            </w:r>
          </w:p>
        </w:tc>
        <w:tc>
          <w:tcPr>
            <w:tcW w:w="12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r>
          </w:p>
          <w:p>
            <w:pPr>
              <w:pStyle w:val="TableContents"/>
              <w:bidi w:val="0"/>
              <w:spacing w:before="0" w:after="0"/>
              <w:jc w:val="center"/>
              <w:rPr/>
            </w:pPr>
            <w:r>
              <w:rPr/>
            </w:r>
          </w:p>
          <w:p>
            <w:pPr>
              <w:pStyle w:val="TableContents"/>
              <w:bidi w:val="0"/>
              <w:spacing w:before="0" w:after="0"/>
              <w:jc w:val="center"/>
              <w:rPr>
                <w:b/>
                <w:spacing w:val="0"/>
              </w:rPr>
            </w:pPr>
            <w:r>
              <w:rPr>
                <w:b/>
                <w:spacing w:val="0"/>
              </w:rPr>
              <w:t>Period (In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Accumulative</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7,999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6,361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1,638</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19,641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11,413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8,228</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1,135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66</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1,637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302</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Intangible Assets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33,099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22,791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10,308</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Amortization expense for the three months ended March 31, 2025, and 2024 totaled $650,000 and $693,000, respectively and is included in selling, general and administrative expenses in the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aggregate amortization expense for intangible assets for the years ending December 31, 2025 through 2029 is as follows: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1820"/>
        <w:gridCol w:w="120"/>
        <w:gridCol w:w="140"/>
        <w:gridCol w:w="560"/>
        <w:gridCol w:w="60"/>
        <w:gridCol w:w="120"/>
        <w:gridCol w:w="140"/>
        <w:gridCol w:w="560"/>
        <w:gridCol w:w="60"/>
        <w:gridCol w:w="120"/>
        <w:gridCol w:w="140"/>
        <w:gridCol w:w="560"/>
        <w:gridCol w:w="60"/>
        <w:gridCol w:w="120"/>
        <w:gridCol w:w="140"/>
        <w:gridCol w:w="560"/>
        <w:gridCol w:w="60"/>
        <w:gridCol w:w="120"/>
        <w:gridCol w:w="140"/>
        <w:gridCol w:w="560"/>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0"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 December 31,</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2029</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0" w:type="dxa"/>
            <w:gridSpan w:val="18"/>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65" w:type="dxa"/>
        <w:jc w:val="left"/>
        <w:tblInd w:w="0" w:type="dxa"/>
        <w:tblLayout w:type="fixed"/>
        <w:tblCellMar>
          <w:top w:w="0" w:type="dxa"/>
          <w:left w:w="0" w:type="dxa"/>
          <w:bottom w:w="0" w:type="dxa"/>
          <w:right w:w="0" w:type="dxa"/>
        </w:tblCellMar>
      </w:tblPr>
      <w:tblGrid>
        <w:gridCol w:w="215"/>
        <w:gridCol w:w="650"/>
      </w:tblGrid>
      <w:tr>
        <w:trPr/>
        <w:tc>
          <w:tcPr>
            <w:tcW w:w="215" w:type="dxa"/>
            <w:tcBorders/>
            <w:vAlign w:val="center"/>
          </w:tcPr>
          <w:p>
            <w:pPr>
              <w:pStyle w:val="TableContents"/>
              <w:bidi w:val="0"/>
              <w:spacing w:before="0" w:after="0"/>
              <w:jc w:val="left"/>
              <w:rPr>
                <w:b/>
                <w:spacing w:val="0"/>
              </w:rPr>
            </w:pPr>
            <w:r>
              <w:rPr>
                <w:b/>
                <w:spacing w:val="0"/>
              </w:rPr>
              <w:t>4.</w:t>
            </w:r>
          </w:p>
        </w:tc>
        <w:tc>
          <w:tcPr>
            <w:tcW w:w="6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rents certain office facilities and equipment under noncancelable operating leases. As of March 31, 2025, approximately 94,000 square feet of office space is utilized for our sales and recruiting offices, delivery centers, and corporate headquarters. All of our leases are classified as operating leases. The average initial lease term is 3.9 years. Several leases have an option to renew, at our sole discretion, for an additional term. Our present lease terms range from less than one year to 4.5 years with a weighted average of 2.9 years. Leases with an initial term of twelve months or less are not recorded on the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balance sheet classification of the lease assets and related lease liabilities: </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2870"/>
        <w:gridCol w:w="120"/>
        <w:gridCol w:w="322"/>
        <w:gridCol w:w="1288"/>
        <w:gridCol w:w="60"/>
        <w:gridCol w:w="120"/>
        <w:gridCol w:w="391"/>
        <w:gridCol w:w="1564"/>
        <w:gridCol w:w="75"/>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5"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3,514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3,832</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double" w:sz="6" w:space="1" w:color="000000"/>
              </w:rPr>
            </w:pPr>
            <w:r>
              <w:rPr>
                <w:bdr w:val="double" w:sz="6" w:space="1" w:color="000000"/>
              </w:rPr>
              <w:t> </w:t>
            </w:r>
          </w:p>
        </w:tc>
        <w:tc>
          <w:tcPr>
            <w:tcW w:w="128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bdr w:val="double" w:sz="6" w:space="1" w:color="000000"/>
              </w:rPr>
            </w:pPr>
            <w:r>
              <w:rPr>
                <w:bdr w:val="double" w:sz="6" w:space="1" w:color="000000"/>
              </w:rPr>
              <w:t> </w:t>
            </w:r>
          </w:p>
        </w:tc>
        <w:tc>
          <w:tcPr>
            <w:tcW w:w="156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liability</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1,291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1,265</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liability</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2,486</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single" w:sz="2" w:space="1" w:color="000000"/>
              </w:rPr>
            </w:pPr>
            <w:r>
              <w:rPr>
                <w:bdr w:val="single" w:sz="2" w:space="1" w:color="000000"/>
              </w:rPr>
              <w:t> </w:t>
            </w:r>
          </w:p>
        </w:tc>
        <w:tc>
          <w:tcPr>
            <w:tcW w:w="128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bdr w:val="single" w:sz="2" w:space="1" w:color="000000"/>
              </w:rPr>
            </w:pPr>
            <w:r>
              <w:rPr>
                <w:bdr w:val="single" w:sz="2" w:space="1" w:color="000000"/>
              </w:rPr>
              <w:t> </w:t>
            </w:r>
          </w:p>
        </w:tc>
        <w:tc>
          <w:tcPr>
            <w:tcW w:w="156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3,449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3,751</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double" w:sz="6" w:space="1" w:color="000000"/>
              </w:rPr>
            </w:pPr>
            <w:r>
              <w:rPr>
                <w:bdr w:val="double" w:sz="6" w:space="1" w:color="000000"/>
              </w:rPr>
              <w:t> </w:t>
            </w:r>
          </w:p>
        </w:tc>
        <w:tc>
          <w:tcPr>
            <w:tcW w:w="128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bdr w:val="double" w:sz="6" w:space="1" w:color="000000"/>
              </w:rPr>
            </w:pPr>
            <w:r>
              <w:rPr>
                <w:bdr w:val="double" w:sz="6" w:space="1" w:color="000000"/>
              </w:rPr>
              <w:t> </w:t>
            </w:r>
          </w:p>
        </w:tc>
        <w:tc>
          <w:tcPr>
            <w:tcW w:w="156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Future minimum rental payments for office facilities and equipment under the Company’s noncancelable operating leases are as follows: </w:t>
      </w:r>
    </w:p>
    <w:p>
      <w:pPr>
        <w:pStyle w:val="TextBody"/>
        <w:bidi w:val="0"/>
        <w:spacing w:before="0" w:after="0"/>
        <w:jc w:val="left"/>
        <w:rPr/>
      </w:pPr>
      <w:r>
        <w:rPr/>
        <w:t> </w:t>
      </w:r>
    </w:p>
    <w:tbl>
      <w:tblPr>
        <w:tblW w:w="5325" w:type="dxa"/>
        <w:jc w:val="left"/>
        <w:tblInd w:w="0" w:type="dxa"/>
        <w:tblLayout w:type="fixed"/>
        <w:tblCellMar>
          <w:top w:w="0" w:type="dxa"/>
          <w:left w:w="0" w:type="dxa"/>
          <w:bottom w:w="0" w:type="dxa"/>
          <w:right w:w="0" w:type="dxa"/>
        </w:tblCellMar>
      </w:tblPr>
      <w:tblGrid>
        <w:gridCol w:w="3425"/>
        <w:gridCol w:w="120"/>
        <w:gridCol w:w="322"/>
        <w:gridCol w:w="1288"/>
        <w:gridCol w:w="17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as of</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 2025</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 (for remainder of year)</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1,085</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1,437</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775</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259</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196</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single" w:sz="2" w:space="1" w:color="000000"/>
              </w:rPr>
            </w:pPr>
            <w:r>
              <w:rPr>
                <w:bdr w:val="single" w:sz="2" w:space="1" w:color="000000"/>
              </w:rPr>
              <w:t> </w:t>
            </w:r>
          </w:p>
        </w:tc>
        <w:tc>
          <w:tcPr>
            <w:tcW w:w="128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3,752</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(303</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single" w:sz="2" w:space="1" w:color="000000"/>
              </w:rPr>
            </w:pPr>
            <w:r>
              <w:rPr>
                <w:bdr w:val="single" w:sz="2" w:space="1" w:color="000000"/>
              </w:rPr>
              <w:t> </w:t>
            </w:r>
          </w:p>
        </w:tc>
        <w:tc>
          <w:tcPr>
            <w:tcW w:w="128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3,449</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0"/>
              <w:jc w:val="left"/>
              <w:rPr>
                <w:bdr w:val="double" w:sz="6" w:space="1" w:color="000000"/>
              </w:rPr>
            </w:pPr>
            <w:r>
              <w:rPr>
                <w:bdr w:val="double" w:sz="6" w:space="1" w:color="000000"/>
              </w:rPr>
              <w:t> </w:t>
            </w:r>
          </w:p>
        </w:tc>
        <w:tc>
          <w:tcPr>
            <w:tcW w:w="128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discount rate used to calculate the present value of future lease payments was 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recognize rent expense for these leases on a straight-line basis over the lease</w:t>
      </w:r>
    </w:p>
    <w:p>
      <w:pPr>
        <w:pStyle w:val="TextBody"/>
        <w:bidi w:val="0"/>
        <w:spacing w:before="0" w:after="0"/>
        <w:jc w:val="left"/>
        <w:rPr>
          <w:rFonts w:ascii="Times New Roman" w:hAnsi="Times New Roman"/>
          <w:spacing w:val="0"/>
          <w:sz w:val="20"/>
        </w:rPr>
      </w:pPr>
      <w:r>
        <w:rPr>
          <w:rFonts w:ascii="Times New Roman" w:hAnsi="Times New Roman"/>
          <w:spacing w:val="0"/>
          <w:sz w:val="20"/>
        </w:rPr>
        <w:t>ter</w:t>
      </w:r>
    </w:p>
    <w:p>
      <w:pPr>
        <w:pStyle w:val="TextBody"/>
        <w:bidi w:val="0"/>
        <w:spacing w:before="0" w:after="0"/>
        <w:jc w:val="left"/>
        <w:rPr>
          <w:rFonts w:ascii="Times New Roman" w:hAnsi="Times New Roman"/>
          <w:sz w:val="20"/>
        </w:rPr>
      </w:pPr>
      <w:r>
        <w:rPr>
          <w:rFonts w:ascii="Times New Roman" w:hAnsi="Times New Roman"/>
          <w:sz w:val="20"/>
        </w:rPr>
        <w:t xml:space="preserve">m. Rental expense for the three months ended March 31, 2025 and 2024 totaled $0.4 million in each period. </w:t>
      </w:r>
    </w:p>
    <w:p>
      <w:pPr>
        <w:pStyle w:val="TextBody"/>
        <w:bidi w:val="0"/>
        <w:spacing w:before="240" w:after="0"/>
        <w:jc w:val="left"/>
        <w:rPr>
          <w:rFonts w:ascii="Times New Roman" w:hAnsi="Times New Roman"/>
          <w:sz w:val="20"/>
        </w:rPr>
      </w:pPr>
      <w:r>
        <w:rPr>
          <w:rFonts w:ascii="Times New Roman" w:hAnsi="Times New Roman"/>
          <w:sz w:val="20"/>
        </w:rPr>
        <w:t xml:space="preserve">Total cash paid for lease liabilities for the three months ended March 31, 2025 and 2024 totaled $0.4 million in each period. </w:t>
      </w:r>
    </w:p>
    <w:p>
      <w:pPr>
        <w:pStyle w:val="TextBody"/>
        <w:bidi w:val="0"/>
        <w:spacing w:before="240" w:after="0"/>
        <w:jc w:val="left"/>
        <w:rPr>
          <w:rFonts w:ascii="Times New Roman" w:hAnsi="Times New Roman"/>
          <w:sz w:val="20"/>
        </w:rPr>
      </w:pPr>
      <w:r>
        <w:rPr>
          <w:rFonts w:ascii="Times New Roman" w:hAnsi="Times New Roman"/>
          <w:sz w:val="20"/>
        </w:rPr>
        <w:t xml:space="preserve">There were no new leases entered into during the three months ended March 31, 2025 and 2024. New leases are considered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transactions. </w:t>
      </w:r>
    </w:p>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0"/>
              <w:jc w:val="left"/>
              <w:rPr>
                <w:b/>
                <w:spacing w:val="0"/>
              </w:rPr>
            </w:pPr>
            <w:r>
              <w:rPr>
                <w:b/>
                <w:spacing w:val="0"/>
              </w:rPr>
              <w:t>5.</w:t>
            </w:r>
          </w:p>
        </w:tc>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Contingencies</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15"/>
        <w:gridCol w:w="2015"/>
      </w:tblGrid>
      <w:tr>
        <w:trPr/>
        <w:tc>
          <w:tcPr>
            <w:tcW w:w="215" w:type="dxa"/>
            <w:tcBorders/>
            <w:vAlign w:val="center"/>
          </w:tcPr>
          <w:p>
            <w:pPr>
              <w:pStyle w:val="TableContents"/>
              <w:bidi w:val="0"/>
              <w:spacing w:before="0" w:after="0"/>
              <w:jc w:val="left"/>
              <w:rPr>
                <w:b/>
                <w:spacing w:val="0"/>
              </w:rPr>
            </w:pPr>
            <w:r>
              <w:rPr>
                <w:b/>
                <w:spacing w:val="0"/>
              </w:rPr>
              <w:t>6.</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provides an Employee Retirement Savings Plan (the “Retirement Plan”) under Section 401(k) of the Internal Revenue Code of 1986, as amended (the “Code”), that covers substantially all U.S. based salaried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W-2</w:t>
      </w:r>
    </w:p>
    <w:p>
      <w:pPr>
        <w:pStyle w:val="TextBody"/>
        <w:bidi w:val="0"/>
        <w:spacing w:before="120" w:after="0"/>
        <w:jc w:val="left"/>
        <w:rPr>
          <w:rFonts w:ascii="Times New Roman" w:hAnsi="Times New Roman"/>
          <w:sz w:val="20"/>
        </w:rPr>
      </w:pPr>
      <w:r>
        <w:rPr>
          <w:rFonts w:ascii="Times New Roman" w:hAnsi="Times New Roman"/>
          <w:sz w:val="20"/>
        </w:rPr>
        <w:t xml:space="preserve">hourly employees. Employees may contribute a percentage of eligible compensation to the Retirement Plan, subject to certain limits under the Code. The Company did not provide for any matching contributions for the three months ended March 31, 2025 and 2024.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215"/>
        <w:gridCol w:w="2375"/>
      </w:tblGrid>
      <w:tr>
        <w:trPr/>
        <w:tc>
          <w:tcPr>
            <w:tcW w:w="215" w:type="dxa"/>
            <w:tcBorders/>
            <w:vAlign w:val="center"/>
          </w:tcPr>
          <w:p>
            <w:pPr>
              <w:pStyle w:val="TableContents"/>
              <w:bidi w:val="0"/>
              <w:spacing w:before="0" w:after="0"/>
              <w:jc w:val="left"/>
              <w:rPr>
                <w:b/>
                <w:spacing w:val="0"/>
              </w:rPr>
            </w:pPr>
            <w:r>
              <w:rPr>
                <w:b/>
                <w:spacing w:val="0"/>
              </w:rPr>
              <w:t>7.</w:t>
            </w:r>
          </w:p>
        </w:tc>
        <w:tc>
          <w:tcPr>
            <w:tcW w:w="2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2008, the Company adopted a Stock Incentive Plan. This stock incentive plan was amended and restated effective as of May 14, 2024 and further amended on May 14, 2025 (as amended from time to time, the “Plan”). The Plan provides that up to 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or stock awards.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Guide Rule 711 and provides for grants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non-qualified</w:t>
      </w:r>
    </w:p>
    <w:p>
      <w:pPr>
        <w:pStyle w:val="TextBody"/>
        <w:bidi w:val="0"/>
        <w:spacing w:before="240" w:after="0"/>
        <w:jc w:val="left"/>
        <w:rPr>
          <w:rFonts w:ascii="Times New Roman" w:hAnsi="Times New Roman"/>
          <w:sz w:val="20"/>
        </w:rPr>
      </w:pPr>
      <w:r>
        <w:rPr>
          <w:rFonts w:ascii="Times New Roman" w:hAnsi="Times New Roman"/>
          <w:sz w:val="20"/>
        </w:rPr>
        <w:t xml:space="preserve">stock options, restricted stock awards, stock awards, performance share awards and other stock-based awards (each, an “Inducement Award”). The 2024 Inducement Stock Incentive Plan is exclusively for the grant of equity awards to individuals who were not previously employed or directors of the company as an inducement to joint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the Company granted 22,140 restricted share units and no stock options under the Plan, and 702,358 stock options at a strike price of $15.41 under the 2024 Inducement Stock Incentive Plan. During the three months ended March 31, 2024, the Company granted 29,612 restricted share units and 385,000 stock options at a strike price of $8.34 under the Plan. As of March 31, 2025, there were 430,000 shares available for grant under the Plan and 798,000 shares available for grant under the 2024 Inducement Stock Incentive Plan. Effective May 14, 2025, the 2024 Inducement Stock Incentive Plan was terminated, which means that no further grants can be made under the 2024 Inducement Stock Incentive Plan but existing outstanding awards granted pursuant to this plan continue to be governed by the plan’s terms. </w:t>
      </w:r>
    </w:p>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expense for the three months ended March 31, 2025 and 2024 was $895,000 and $550,000, respectively, and is included in selling, general and administrative expenses in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and 2024, the Company issued 17,921 and 19,924 shares, respectively, related to the grant of restricted share units and the exercise of stock options. </w:t>
      </w:r>
    </w:p>
    <w:p>
      <w:pPr>
        <w:pStyle w:val="TextBody"/>
        <w:bidi w:val="0"/>
        <w:spacing w:before="240" w:after="0"/>
        <w:jc w:val="left"/>
        <w:rPr>
          <w:rFonts w:ascii="Times New Roman" w:hAnsi="Times New Roman"/>
          <w:sz w:val="20"/>
        </w:rPr>
      </w:pPr>
      <w:r>
        <w:rPr>
          <w:rFonts w:ascii="Times New Roman" w:hAnsi="Times New Roman"/>
          <w:sz w:val="20"/>
        </w:rPr>
        <w:t xml:space="preserve">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w:t>
      </w:r>
    </w:p>
    <w:p>
      <w:pPr>
        <w:pStyle w:val="TextBody"/>
        <w:bidi w:val="0"/>
        <w:spacing w:before="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0" w:after="0"/>
        <w:jc w:val="left"/>
        <w:rPr>
          <w:rFonts w:ascii="Times New Roman" w:hAnsi="Times New Roman"/>
          <w:sz w:val="20"/>
        </w:rPr>
      </w:pPr>
      <w:r>
        <w:rPr>
          <w:rFonts w:ascii="Times New Roman" w:hAnsi="Times New Roman"/>
          <w:sz w:val="20"/>
        </w:rPr>
        <w:t xml:space="preserve">offering period. Offering periods begin on January 1 and July 1 of each year. The Company uses the Black-Scholes option pricing model to determine the fair value of Employee Stock Purchase Plan share-based payments. The fair value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0" w:after="0"/>
        <w:jc w:val="left"/>
        <w:rPr/>
      </w:pPr>
      <w:r>
        <w:rPr/>
        <w:t>“</w:t>
      </w:r>
      <w:r>
        <w:rPr>
          <w:rFonts w:ascii="Times New Roman" w:hAnsi="Times New Roman"/>
          <w:sz w:val="20"/>
        </w:rPr>
        <w:t xml:space="preserve">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0" w:after="0"/>
        <w:jc w:val="left"/>
        <w:rPr>
          <w:rFonts w:ascii="Times New Roman" w:hAnsi="Times New Roman"/>
          <w:sz w:val="20"/>
        </w:rPr>
      </w:pPr>
      <w:r>
        <w:rPr>
          <w:rFonts w:ascii="Times New Roman" w:hAnsi="Times New Roman"/>
          <w:sz w:val="20"/>
        </w:rPr>
        <w:t xml:space="preserve">offering period. The Company utilized historical company data to develop its dividend yield and expected volatility assumptions.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and 2024, there were no shares issued under the Employee Stock Purchase Plan. As of March 31, 2025, there were 432,059 shares available for purchases under the Employee Stock Purchase Plan.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215"/>
        <w:gridCol w:w="1325"/>
      </w:tblGrid>
      <w:tr>
        <w:trPr/>
        <w:tc>
          <w:tcPr>
            <w:tcW w:w="215" w:type="dxa"/>
            <w:tcBorders/>
            <w:vAlign w:val="center"/>
          </w:tcPr>
          <w:p>
            <w:pPr>
              <w:pStyle w:val="TableContents"/>
              <w:bidi w:val="0"/>
              <w:spacing w:before="0" w:after="0"/>
              <w:jc w:val="left"/>
              <w:rPr>
                <w:b/>
                <w:spacing w:val="0"/>
              </w:rPr>
            </w:pPr>
            <w:r>
              <w:rPr>
                <w:b/>
                <w:spacing w:val="0"/>
              </w:rPr>
              <w:t>8.</w:t>
            </w:r>
          </w:p>
        </w:tc>
        <w:tc>
          <w:tcPr>
            <w:tcW w:w="1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Credit Facility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8-Ks</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July 19, 2017, April 25, 2018, October 7, 2020, Exhibit 10.2 to the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8-K/A</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January 4, 2022 and Exhibits 10.11 and 10.12 to the Company’s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March 15, 2024. Additionally, the facility includes an accordion feature for additional borrowing of up to $20 million upon satisfaction of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Revolver expires in December 2026 and includes swing loan and letter of credit </w:t>
      </w:r>
    </w:p>
    <w:p>
      <w:pPr>
        <w:pStyle w:val="TextBody"/>
        <w:bidi w:val="0"/>
        <w:spacing w:before="240" w:after="0"/>
        <w:jc w:val="left"/>
        <w:rPr>
          <w:rFonts w:ascii="Times New Roman" w:hAnsi="Times New Roman"/>
          <w:spacing w:val="0"/>
          <w:sz w:val="20"/>
        </w:rPr>
      </w:pPr>
      <w:r>
        <w:rPr>
          <w:rFonts w:ascii="Times New Roman" w:hAnsi="Times New Roman"/>
          <w:spacing w:val="0"/>
          <w:sz w:val="20"/>
        </w:rPr>
        <w:t>sub-limits</w:t>
      </w:r>
    </w:p>
    <w:p>
      <w:pPr>
        <w:pStyle w:val="TextBody"/>
        <w:bidi w:val="0"/>
        <w:spacing w:before="240" w:after="0"/>
        <w:jc w:val="left"/>
        <w:rPr>
          <w:rFonts w:ascii="Times New Roman" w:hAnsi="Times New Roman"/>
          <w:sz w:val="20"/>
        </w:rPr>
      </w:pPr>
      <w:r>
        <w:rPr>
          <w:rFonts w:ascii="Times New Roman" w:hAnsi="Times New Roman"/>
          <w:sz w:val="20"/>
        </w:rPr>
        <w:t xml:space="preserve">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30-basis</w:t>
      </w:r>
    </w:p>
    <w:p>
      <w:pPr>
        <w:pStyle w:val="TextBody"/>
        <w:bidi w:val="0"/>
        <w:spacing w:before="240" w:after="0"/>
        <w:jc w:val="left"/>
        <w:rPr>
          <w:rFonts w:ascii="Times New Roman" w:hAnsi="Times New Roman"/>
          <w:sz w:val="20"/>
        </w:rPr>
      </w:pPr>
      <w:r>
        <w:rPr>
          <w:rFonts w:ascii="Times New Roman" w:hAnsi="Times New Roman"/>
          <w:sz w:val="20"/>
        </w:rPr>
        <w:t xml:space="preserve">point per annum commitment fee on the unused portion of the Revolver is charged and due monthly in arrears. The applicable commitment fee is determined based upon the Company’s senior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March 31, 2025, the Company was in compliance with all applicable provisions of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securing the commitments under the Credit Agreement and the April 20, 2018, October 1, 2020, December 29, 2021 and December 29, 2023 amendments to the Credit Agreement, the Company paid a commitment fee and incurred deferred financing costs totaling $1,039,000, which were capitalized and are being amortized as interest expense over the life of the Credit Facility. Deferred financing costs of $165,000 and $189,000 (net of amortization) as of March 31, 2025, and December 31, 2024, respectively, are presented as long-term assets in the Company’s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and December 31, 2024, the Company’s outstanding borrowings under the Revolver totaled zero dollars; and unused borrowing capacity available was approximately $23.7 million and $22.5 million, respectively. There were no outstanding borrowings under the Term Loan at March 31, 2025, and December 31, 2024. On May 9, 2024, the Company issued two standby Letters of Credit for $162,000 each from PNC Bank to a Vietnam client to secure certain performance and advance payment guarantees made to the client on an existing fixed price Data and Analytics Services assignment. The letters of credit are scheduled to expire on March 21, 2026.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215"/>
        <w:gridCol w:w="1265"/>
      </w:tblGrid>
      <w:tr>
        <w:trPr/>
        <w:tc>
          <w:tcPr>
            <w:tcW w:w="215" w:type="dxa"/>
            <w:tcBorders/>
            <w:vAlign w:val="center"/>
          </w:tcPr>
          <w:p>
            <w:pPr>
              <w:pStyle w:val="TableContents"/>
              <w:bidi w:val="0"/>
              <w:spacing w:before="0" w:after="0"/>
              <w:jc w:val="left"/>
              <w:rPr>
                <w:b/>
                <w:spacing w:val="0"/>
              </w:rPr>
            </w:pPr>
            <w:r>
              <w:rPr>
                <w:b/>
                <w:spacing w:val="0"/>
              </w:rPr>
              <w:t>9.</w:t>
            </w:r>
          </w:p>
        </w:tc>
        <w:tc>
          <w:tcPr>
            <w:tcW w:w="1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components of income before income taxes, as shown in the accompanying Financial Statements, consisted of the following for the three months ended March 31, 2025 and 2024: </w:t>
      </w:r>
    </w:p>
    <w:p>
      <w:pPr>
        <w:pStyle w:val="TextBody"/>
        <w:bidi w:val="0"/>
        <w:spacing w:before="0" w:after="0"/>
        <w:jc w:val="left"/>
        <w:rPr/>
      </w:pPr>
      <w:r>
        <w:rPr/>
        <w:t> </w:t>
      </w:r>
    </w:p>
    <w:tbl>
      <w:tblPr>
        <w:tblW w:w="5577" w:type="dxa"/>
        <w:jc w:val="left"/>
        <w:tblInd w:w="0" w:type="dxa"/>
        <w:tblLayout w:type="fixed"/>
        <w:tblCellMar>
          <w:top w:w="0" w:type="dxa"/>
          <w:left w:w="0" w:type="dxa"/>
          <w:bottom w:w="0" w:type="dxa"/>
          <w:right w:w="0" w:type="dxa"/>
        </w:tblCellMar>
      </w:tblPr>
      <w:tblGrid>
        <w:gridCol w:w="2840"/>
        <w:gridCol w:w="120"/>
        <w:gridCol w:w="208"/>
        <w:gridCol w:w="944"/>
        <w:gridCol w:w="230"/>
        <w:gridCol w:w="178"/>
        <w:gridCol w:w="208"/>
        <w:gridCol w:w="679"/>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March 31,</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7" w:type="dxa"/>
            <w:gridSpan w:val="6"/>
            <w:tcBorders/>
            <w:vAlign w:val="center"/>
          </w:tcPr>
          <w:p>
            <w:pPr>
              <w:pStyle w:val="TableContents"/>
              <w:bidi w:val="0"/>
              <w:spacing w:before="0" w:after="0"/>
              <w:jc w:val="center"/>
              <w:rPr>
                <w:b/>
                <w:spacing w:val="0"/>
              </w:rPr>
            </w:pPr>
            <w:r>
              <w:rPr>
                <w:b/>
                <w:spacing w:val="0"/>
              </w:rPr>
              <w:t>(Amounts in thousands)</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67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283"/>
              <w:jc w:val="right"/>
              <w:rPr/>
            </w:pPr>
            <w:r>
              <w:rPr/>
              <w:t>(2,586</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679" w:type="dxa"/>
            <w:tcBorders/>
            <w:vAlign w:val="center"/>
          </w:tcPr>
          <w:p>
            <w:pPr>
              <w:pStyle w:val="TableContents"/>
              <w:bidi w:val="0"/>
              <w:spacing w:before="0" w:after="283"/>
              <w:jc w:val="right"/>
              <w:rPr/>
            </w:pPr>
            <w:r>
              <w:rPr/>
              <w:t>(316</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824</w:t>
            </w:r>
          </w:p>
        </w:tc>
        <w:tc>
          <w:tcPr>
            <w:tcW w:w="23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34</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44" w:type="dxa"/>
            <w:tcBorders/>
            <w:vAlign w:val="center"/>
          </w:tcPr>
          <w:p>
            <w:pPr>
              <w:pStyle w:val="TableContents"/>
              <w:bidi w:val="0"/>
              <w:spacing w:before="0" w:after="0"/>
              <w:jc w:val="left"/>
              <w:rPr>
                <w:bdr w:val="single" w:sz="2" w:space="1" w:color="000000"/>
              </w:rPr>
            </w:pPr>
            <w:r>
              <w:rPr>
                <w:bdr w:val="single" w:sz="2" w:space="1" w:color="000000"/>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67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44" w:type="dxa"/>
            <w:tcBorders/>
            <w:vAlign w:val="center"/>
          </w:tcPr>
          <w:p>
            <w:pPr>
              <w:pStyle w:val="TableContents"/>
              <w:bidi w:val="0"/>
              <w:spacing w:before="0" w:after="283"/>
              <w:jc w:val="right"/>
              <w:rPr/>
            </w:pPr>
            <w:r>
              <w:rPr/>
              <w:t>(1,762</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679" w:type="dxa"/>
            <w:tcBorders/>
            <w:vAlign w:val="center"/>
          </w:tcPr>
          <w:p>
            <w:pPr>
              <w:pStyle w:val="TableContents"/>
              <w:bidi w:val="0"/>
              <w:spacing w:before="0" w:after="283"/>
              <w:jc w:val="right"/>
              <w:rPr/>
            </w:pPr>
            <w:r>
              <w:rPr/>
              <w:t>(282</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double" w:sz="6" w:space="1" w:color="000000"/>
              </w:rPr>
            </w:pPr>
            <w:r>
              <w:rPr>
                <w:bdr w:val="double" w:sz="6" w:space="1" w:color="000000"/>
              </w:rPr>
              <w:t> </w:t>
            </w:r>
          </w:p>
        </w:tc>
        <w:tc>
          <w:tcPr>
            <w:tcW w:w="944" w:type="dxa"/>
            <w:tcBorders/>
            <w:vAlign w:val="center"/>
          </w:tcPr>
          <w:p>
            <w:pPr>
              <w:pStyle w:val="TableContents"/>
              <w:bidi w:val="0"/>
              <w:spacing w:before="0" w:after="0"/>
              <w:jc w:val="left"/>
              <w:rPr>
                <w:bdr w:val="double" w:sz="6" w:space="1" w:color="000000"/>
              </w:rPr>
            </w:pPr>
            <w:r>
              <w:rPr>
                <w:bdr w:val="double" w:sz="6" w:space="1" w:color="000000"/>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double" w:sz="6" w:space="1" w:color="000000"/>
              </w:rPr>
            </w:pPr>
            <w:r>
              <w:rPr>
                <w:bdr w:val="double" w:sz="6" w:space="1" w:color="000000"/>
              </w:rPr>
              <w:t> </w:t>
            </w:r>
          </w:p>
        </w:tc>
        <w:tc>
          <w:tcPr>
            <w:tcW w:w="67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foreign subsidiaries which generate revenues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non-U.S.-based</w:t>
      </w:r>
    </w:p>
    <w:p>
      <w:pPr>
        <w:pStyle w:val="TextBody"/>
        <w:bidi w:val="0"/>
        <w:spacing w:before="240" w:after="0"/>
        <w:jc w:val="left"/>
        <w:rPr>
          <w:rFonts w:ascii="Times New Roman" w:hAnsi="Times New Roman"/>
          <w:sz w:val="20"/>
        </w:rPr>
      </w:pPr>
      <w:r>
        <w:rPr>
          <w:rFonts w:ascii="Times New Roman" w:hAnsi="Times New Roman"/>
          <w:sz w:val="20"/>
        </w:rPr>
        <w:t xml:space="preserve">clients. Additionally, these subsidiaries provide services to the Company’s U.S. operations. Accordingly, the Company allocates a portion of its income (loss) to these subsidiaries based on a “transfer pricing” model and reports such income (loss) as foreign in the above table. </w:t>
      </w:r>
    </w:p>
    <w:p>
      <w:pPr>
        <w:pStyle w:val="TextBody"/>
        <w:bidi w:val="0"/>
        <w:spacing w:before="240" w:after="0"/>
        <w:jc w:val="left"/>
        <w:rPr>
          <w:rFonts w:ascii="Times New Roman" w:hAnsi="Times New Roman"/>
          <w:sz w:val="20"/>
        </w:rPr>
      </w:pPr>
      <w:r>
        <w:rPr>
          <w:rFonts w:ascii="Times New Roman" w:hAnsi="Times New Roman"/>
          <w:sz w:val="20"/>
        </w:rPr>
        <w:t xml:space="preserve">The provision (benefit) for income taxes, as shown in the accompanying Financial Statements, consisted of the following for the three months ended March 31, 2025 and 2024: </w:t>
      </w:r>
    </w:p>
    <w:p>
      <w:pPr>
        <w:pStyle w:val="TextBody"/>
        <w:bidi w:val="0"/>
        <w:spacing w:before="0" w:after="0"/>
        <w:jc w:val="left"/>
        <w:rPr/>
      </w:pPr>
      <w:r>
        <w:rPr/>
        <w:t> </w:t>
      </w:r>
    </w:p>
    <w:tbl>
      <w:tblPr>
        <w:tblW w:w="6148" w:type="dxa"/>
        <w:jc w:val="left"/>
        <w:tblInd w:w="0" w:type="dxa"/>
        <w:tblLayout w:type="fixed"/>
        <w:tblCellMar>
          <w:top w:w="0" w:type="dxa"/>
          <w:left w:w="0" w:type="dxa"/>
          <w:bottom w:w="0" w:type="dxa"/>
          <w:right w:w="0" w:type="dxa"/>
        </w:tblCellMar>
      </w:tblPr>
      <w:tblGrid>
        <w:gridCol w:w="3410"/>
        <w:gridCol w:w="120"/>
        <w:gridCol w:w="233"/>
        <w:gridCol w:w="760"/>
        <w:gridCol w:w="257"/>
        <w:gridCol w:w="200"/>
        <w:gridCol w:w="233"/>
        <w:gridCol w:w="765"/>
        <w:gridCol w:w="170"/>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March 31,</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(Amounts in thousands)</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provision (benefit):</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(576</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before="0" w:after="283"/>
              <w:jc w:val="right"/>
              <w:rPr/>
            </w:pPr>
            <w:r>
              <w:rPr/>
              <w:t>(224</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(106</w:t>
            </w:r>
          </w:p>
        </w:tc>
        <w:tc>
          <w:tcPr>
            <w:tcW w:w="257"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(39</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356</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104</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provision (benefit)</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(326</w:t>
            </w:r>
          </w:p>
        </w:tc>
        <w:tc>
          <w:tcPr>
            <w:tcW w:w="257"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(159</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provision (benefit):</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22</w:t>
            </w:r>
          </w:p>
        </w:tc>
        <w:tc>
          <w:tcPr>
            <w:tcW w:w="257"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(23</w:t>
            </w:r>
          </w:p>
        </w:tc>
        <w:tc>
          <w:tcPr>
            <w:tcW w:w="257"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(83</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provision (benefit)</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93</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provision (benefit) for income taxes</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(323</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before="0" w:after="283"/>
              <w:jc w:val="right"/>
              <w:rPr/>
            </w:pPr>
            <w:r>
              <w:rPr/>
              <w:t>(121</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25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double" w:sz="6" w:space="1" w:color="000000"/>
              </w:rPr>
            </w:pPr>
            <w:r>
              <w:rPr>
                <w:bdr w:val="double" w:sz="6" w:space="1" w:color="000000"/>
              </w:rPr>
              <w:t> </w:t>
            </w:r>
          </w:p>
        </w:tc>
        <w:tc>
          <w:tcPr>
            <w:tcW w:w="7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reconciliation of income taxes computed using the statutory U.S. income tax rate and the provision for income taxes for the three months ended March 31, 2025 and 2024 were as follows (amounts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09"/>
        <w:gridCol w:w="120"/>
        <w:gridCol w:w="214"/>
        <w:gridCol w:w="695"/>
        <w:gridCol w:w="237"/>
        <w:gridCol w:w="183"/>
        <w:gridCol w:w="91"/>
        <w:gridCol w:w="790"/>
        <w:gridCol w:w="343"/>
        <w:gridCol w:w="60"/>
        <w:gridCol w:w="214"/>
        <w:gridCol w:w="695"/>
        <w:gridCol w:w="237"/>
        <w:gridCol w:w="183"/>
        <w:gridCol w:w="91"/>
        <w:gridCol w:w="790"/>
        <w:gridCol w:w="353"/>
      </w:tblGrid>
      <w:tr>
        <w:trPr/>
        <w:tc>
          <w:tcPr>
            <w:tcW w:w="4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9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 2025</w:t>
            </w:r>
          </w:p>
        </w:tc>
        <w:tc>
          <w:tcPr>
            <w:tcW w:w="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 2024</w:t>
            </w:r>
          </w:p>
        </w:tc>
        <w:tc>
          <w:tcPr>
            <w:tcW w:w="353" w:type="dxa"/>
            <w:tcBorders/>
            <w:vAlign w:val="center"/>
          </w:tcPr>
          <w:p>
            <w:pPr>
              <w:pStyle w:val="TableContents"/>
              <w:bidi w:val="0"/>
              <w:spacing w:before="0" w:after="283"/>
              <w:jc w:val="left"/>
              <w:rPr/>
            </w:pPr>
            <w:r>
              <w:rPr/>
              <w:t> </w:t>
            </w:r>
          </w:p>
        </w:tc>
      </w:tr>
      <w:tr>
        <w:trPr/>
        <w:tc>
          <w:tcPr>
            <w:tcW w:w="49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computed at the federal statutory rate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(370</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(21.0</w:t>
            </w:r>
          </w:p>
        </w:tc>
        <w:tc>
          <w:tcPr>
            <w:tcW w:w="3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(59</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(21.0</w:t>
            </w:r>
          </w:p>
        </w:tc>
        <w:tc>
          <w:tcPr>
            <w:tcW w:w="353" w:type="dxa"/>
            <w:tcBorders/>
            <w:shd w:fill="CCEEFF" w:val="clear"/>
            <w:vAlign w:val="center"/>
          </w:tcPr>
          <w:p>
            <w:pPr>
              <w:pStyle w:val="TableContents"/>
              <w:bidi w:val="0"/>
              <w:spacing w:before="0" w:after="283"/>
              <w:jc w:val="left"/>
              <w:rPr/>
            </w:pPr>
            <w:r>
              <w:rPr/>
              <w:t>%) </w:t>
            </w:r>
          </w:p>
        </w:tc>
      </w:tr>
      <w:tr>
        <w:trPr/>
        <w:tc>
          <w:tcPr>
            <w:tcW w:w="4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tax benefit</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(102</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(5.8</w:t>
            </w:r>
          </w:p>
        </w:tc>
        <w:tc>
          <w:tcPr>
            <w:tcW w:w="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(10</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(3.5</w:t>
            </w:r>
          </w:p>
        </w:tc>
        <w:tc>
          <w:tcPr>
            <w:tcW w:w="353" w:type="dxa"/>
            <w:tcBorders/>
            <w:vAlign w:val="center"/>
          </w:tcPr>
          <w:p>
            <w:pPr>
              <w:pStyle w:val="TableContents"/>
              <w:bidi w:val="0"/>
              <w:spacing w:before="0" w:after="283"/>
              <w:jc w:val="left"/>
              <w:rPr/>
            </w:pPr>
            <w:r>
              <w:rPr/>
              <w:t>) </w:t>
            </w:r>
          </w:p>
        </w:tc>
      </w:tr>
      <w:tr>
        <w:trPr/>
        <w:tc>
          <w:tcPr>
            <w:tcW w:w="49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Excess tax expense (benefits) from stock options/restricted shares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(22</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(1.2</w:t>
            </w:r>
          </w:p>
        </w:tc>
        <w:tc>
          <w:tcPr>
            <w:tcW w:w="3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85</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30.1</w:t>
            </w:r>
          </w:p>
        </w:tc>
        <w:tc>
          <w:tcPr>
            <w:tcW w:w="353" w:type="dxa"/>
            <w:tcBorders/>
            <w:shd w:fill="CCEEFF" w:val="clear"/>
            <w:vAlign w:val="center"/>
          </w:tcPr>
          <w:p>
            <w:pPr>
              <w:pStyle w:val="TableContents"/>
              <w:bidi w:val="0"/>
              <w:spacing w:before="0" w:after="283"/>
              <w:jc w:val="left"/>
              <w:rPr/>
            </w:pPr>
            <w:r>
              <w:rPr/>
              <w:t> </w:t>
            </w:r>
          </w:p>
        </w:tc>
      </w:tr>
      <w:tr>
        <w:trPr/>
        <w:tc>
          <w:tcPr>
            <w:tcW w:w="4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Worthless stock deduction</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— </w:t>
            </w:r>
          </w:p>
        </w:tc>
        <w:tc>
          <w:tcPr>
            <w:tcW w:w="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(248</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(87.9</w:t>
            </w:r>
          </w:p>
        </w:tc>
        <w:tc>
          <w:tcPr>
            <w:tcW w:w="353" w:type="dxa"/>
            <w:tcBorders/>
            <w:vAlign w:val="center"/>
          </w:tcPr>
          <w:p>
            <w:pPr>
              <w:pStyle w:val="TableContents"/>
              <w:bidi w:val="0"/>
              <w:spacing w:before="0" w:after="283"/>
              <w:jc w:val="left"/>
              <w:rPr/>
            </w:pPr>
            <w:r>
              <w:rPr/>
              <w:t>) </w:t>
            </w:r>
          </w:p>
        </w:tc>
      </w:tr>
      <w:tr>
        <w:trPr/>
        <w:tc>
          <w:tcPr>
            <w:tcW w:w="49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Difference in tax rate on foreign earnings/other</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171</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9.7</w:t>
            </w:r>
          </w:p>
        </w:tc>
        <w:tc>
          <w:tcPr>
            <w:tcW w:w="3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18</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6.4</w:t>
            </w:r>
          </w:p>
        </w:tc>
        <w:tc>
          <w:tcPr>
            <w:tcW w:w="353" w:type="dxa"/>
            <w:tcBorders/>
            <w:shd w:fill="CCEEFF" w:val="clear"/>
            <w:vAlign w:val="center"/>
          </w:tcPr>
          <w:p>
            <w:pPr>
              <w:pStyle w:val="TableContents"/>
              <w:bidi w:val="0"/>
              <w:spacing w:before="0" w:after="283"/>
              <w:jc w:val="left"/>
              <w:rPr/>
            </w:pPr>
            <w:r>
              <w:rPr/>
              <w:t> </w:t>
            </w:r>
          </w:p>
        </w:tc>
      </w:tr>
      <w:tr>
        <w:trPr/>
        <w:tc>
          <w:tcPr>
            <w:tcW w:w="4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— </w:t>
            </w:r>
          </w:p>
        </w:tc>
        <w:tc>
          <w:tcPr>
            <w:tcW w:w="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93</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33.0</w:t>
            </w:r>
          </w:p>
        </w:tc>
        <w:tc>
          <w:tcPr>
            <w:tcW w:w="353" w:type="dxa"/>
            <w:tcBorders/>
            <w:vAlign w:val="center"/>
          </w:tcPr>
          <w:p>
            <w:pPr>
              <w:pStyle w:val="TableContents"/>
              <w:bidi w:val="0"/>
              <w:spacing w:before="0" w:after="283"/>
              <w:jc w:val="left"/>
              <w:rPr/>
            </w:pPr>
            <w:r>
              <w:rPr/>
              <w:t> </w:t>
            </w:r>
          </w:p>
        </w:tc>
      </w:tr>
      <w:tr>
        <w:trPr/>
        <w:tc>
          <w:tcPr>
            <w:tcW w:w="4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695" w:type="dxa"/>
            <w:tcBorders/>
            <w:vAlign w:val="center"/>
          </w:tcPr>
          <w:p>
            <w:pPr>
              <w:pStyle w:val="TableContents"/>
              <w:bidi w:val="0"/>
              <w:spacing w:before="0" w:after="0"/>
              <w:jc w:val="left"/>
              <w:rPr>
                <w:bdr w:val="single" w:sz="2" w:space="1" w:color="000000"/>
              </w:rPr>
            </w:pPr>
            <w:r>
              <w:rPr>
                <w:bdr w:val="single" w:sz="2" w:space="1" w:color="000000"/>
              </w:rPr>
              <w:t> </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single" w:sz="2" w:space="1" w:color="000000"/>
              </w:rPr>
            </w:pPr>
            <w:r>
              <w:rPr>
                <w:bdr w:val="single" w:sz="2" w:space="1" w:color="000000"/>
              </w:rPr>
              <w:t> </w:t>
            </w:r>
          </w:p>
        </w:tc>
        <w:tc>
          <w:tcPr>
            <w:tcW w:w="790" w:type="dxa"/>
            <w:tcBorders/>
            <w:vAlign w:val="center"/>
          </w:tcPr>
          <w:p>
            <w:pPr>
              <w:pStyle w:val="TableContents"/>
              <w:bidi w:val="0"/>
              <w:spacing w:before="0" w:after="0"/>
              <w:jc w:val="left"/>
              <w:rPr>
                <w:bdr w:val="single" w:sz="2" w:space="1" w:color="000000"/>
              </w:rPr>
            </w:pPr>
            <w:r>
              <w:rPr>
                <w:bdr w:val="single" w:sz="2" w:space="1" w:color="000000"/>
              </w:rPr>
              <w:t> </w:t>
            </w:r>
          </w:p>
        </w:tc>
        <w:tc>
          <w:tcPr>
            <w:tcW w:w="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695" w:type="dxa"/>
            <w:tcBorders/>
            <w:vAlign w:val="center"/>
          </w:tcPr>
          <w:p>
            <w:pPr>
              <w:pStyle w:val="TableContents"/>
              <w:bidi w:val="0"/>
              <w:spacing w:before="0" w:after="0"/>
              <w:jc w:val="left"/>
              <w:rPr>
                <w:bdr w:val="single" w:sz="2" w:space="1" w:color="000000"/>
              </w:rPr>
            </w:pPr>
            <w:r>
              <w:rPr>
                <w:bdr w:val="single" w:sz="2" w:space="1" w:color="000000"/>
              </w:rPr>
              <w:t> </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single" w:sz="2" w:space="1" w:color="000000"/>
              </w:rPr>
            </w:pPr>
            <w:r>
              <w:rPr>
                <w:bdr w:val="single" w:sz="2" w:space="1" w:color="000000"/>
              </w:rPr>
              <w:t> </w:t>
            </w:r>
          </w:p>
        </w:tc>
        <w:tc>
          <w:tcPr>
            <w:tcW w:w="790" w:type="dxa"/>
            <w:tcBorders/>
            <w:vAlign w:val="center"/>
          </w:tcPr>
          <w:p>
            <w:pPr>
              <w:pStyle w:val="TableContents"/>
              <w:bidi w:val="0"/>
              <w:spacing w:before="0" w:after="0"/>
              <w:jc w:val="left"/>
              <w:rPr>
                <w:bdr w:val="single" w:sz="2" w:space="1" w:color="000000"/>
              </w:rPr>
            </w:pPr>
            <w:r>
              <w:rPr>
                <w:bdr w:val="single" w:sz="2" w:space="1" w:color="000000"/>
              </w:rPr>
              <w:t> </w:t>
            </w:r>
          </w:p>
        </w:tc>
        <w:tc>
          <w:tcPr>
            <w:tcW w:w="353" w:type="dxa"/>
            <w:tcBorders/>
            <w:vAlign w:val="center"/>
          </w:tcPr>
          <w:p>
            <w:pPr>
              <w:pStyle w:val="TableContents"/>
              <w:bidi w:val="0"/>
              <w:spacing w:before="0" w:after="283"/>
              <w:jc w:val="left"/>
              <w:rPr/>
            </w:pPr>
            <w:r>
              <w:rPr/>
              <w:t> </w:t>
            </w:r>
          </w:p>
        </w:tc>
      </w:tr>
      <w:tr>
        <w:trPr/>
        <w:tc>
          <w:tcPr>
            <w:tcW w:w="49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(323</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(18.3</w:t>
            </w:r>
          </w:p>
        </w:tc>
        <w:tc>
          <w:tcPr>
            <w:tcW w:w="3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(121</w:t>
            </w:r>
          </w:p>
        </w:tc>
        <w:tc>
          <w:tcPr>
            <w:tcW w:w="23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(42.9</w:t>
            </w:r>
          </w:p>
        </w:tc>
        <w:tc>
          <w:tcPr>
            <w:tcW w:w="353" w:type="dxa"/>
            <w:tcBorders/>
            <w:shd w:fill="CCEEFF" w:val="clear"/>
            <w:vAlign w:val="center"/>
          </w:tcPr>
          <w:p>
            <w:pPr>
              <w:pStyle w:val="TableContents"/>
              <w:bidi w:val="0"/>
              <w:spacing w:before="0" w:after="283"/>
              <w:jc w:val="left"/>
              <w:rPr/>
            </w:pPr>
            <w:r>
              <w:rPr/>
              <w:t>%) </w:t>
            </w:r>
          </w:p>
        </w:tc>
      </w:tr>
      <w:tr>
        <w:trPr/>
        <w:tc>
          <w:tcPr>
            <w:tcW w:w="4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695" w:type="dxa"/>
            <w:tcBorders/>
            <w:vAlign w:val="center"/>
          </w:tcPr>
          <w:p>
            <w:pPr>
              <w:pStyle w:val="TableContents"/>
              <w:bidi w:val="0"/>
              <w:spacing w:before="0" w:after="0"/>
              <w:jc w:val="left"/>
              <w:rPr>
                <w:bdr w:val="double" w:sz="6" w:space="1" w:color="000000"/>
              </w:rPr>
            </w:pPr>
            <w:r>
              <w:rPr>
                <w:bdr w:val="double" w:sz="6" w:space="1" w:color="000000"/>
              </w:rPr>
              <w:t> </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double" w:sz="6" w:space="1" w:color="000000"/>
              </w:rPr>
            </w:pPr>
            <w:r>
              <w:rPr>
                <w:bdr w:val="double" w:sz="6" w:space="1" w:color="000000"/>
              </w:rPr>
              <w:t> </w:t>
            </w:r>
          </w:p>
        </w:tc>
        <w:tc>
          <w:tcPr>
            <w:tcW w:w="790" w:type="dxa"/>
            <w:tcBorders/>
            <w:vAlign w:val="center"/>
          </w:tcPr>
          <w:p>
            <w:pPr>
              <w:pStyle w:val="TableContents"/>
              <w:bidi w:val="0"/>
              <w:spacing w:before="0" w:after="0"/>
              <w:jc w:val="left"/>
              <w:rPr>
                <w:bdr w:val="double" w:sz="6" w:space="1" w:color="000000"/>
              </w:rPr>
            </w:pPr>
            <w:r>
              <w:rPr>
                <w:bdr w:val="double" w:sz="6" w:space="1" w:color="000000"/>
              </w:rPr>
              <w:t> </w:t>
            </w:r>
          </w:p>
        </w:tc>
        <w:tc>
          <w:tcPr>
            <w:tcW w:w="3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695" w:type="dxa"/>
            <w:tcBorders/>
            <w:vAlign w:val="center"/>
          </w:tcPr>
          <w:p>
            <w:pPr>
              <w:pStyle w:val="TableContents"/>
              <w:bidi w:val="0"/>
              <w:spacing w:before="0" w:after="0"/>
              <w:jc w:val="left"/>
              <w:rPr>
                <w:bdr w:val="double" w:sz="6" w:space="1" w:color="000000"/>
              </w:rPr>
            </w:pPr>
            <w:r>
              <w:rPr>
                <w:bdr w:val="double" w:sz="6" w:space="1" w:color="000000"/>
              </w:rPr>
              <w:t> </w:t>
            </w:r>
          </w:p>
        </w:tc>
        <w:tc>
          <w:tcPr>
            <w:tcW w:w="23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double" w:sz="6" w:space="1" w:color="000000"/>
              </w:rPr>
            </w:pPr>
            <w:r>
              <w:rPr>
                <w:bdr w:val="double" w:sz="6" w:space="1" w:color="000000"/>
              </w:rPr>
              <w:t> </w:t>
            </w:r>
          </w:p>
        </w:tc>
        <w:tc>
          <w:tcPr>
            <w:tcW w:w="790" w:type="dxa"/>
            <w:tcBorders/>
            <w:vAlign w:val="center"/>
          </w:tcPr>
          <w:p>
            <w:pPr>
              <w:pStyle w:val="TableContents"/>
              <w:bidi w:val="0"/>
              <w:spacing w:before="0" w:after="0"/>
              <w:jc w:val="left"/>
              <w:rPr>
                <w:bdr w:val="double" w:sz="6" w:space="1" w:color="000000"/>
              </w:rPr>
            </w:pPr>
            <w:r>
              <w:rPr>
                <w:bdr w:val="double" w:sz="6" w:space="1" w:color="000000"/>
              </w:rPr>
              <w:t> </w:t>
            </w:r>
          </w:p>
        </w:tc>
        <w:tc>
          <w:tcPr>
            <w:tcW w:w="35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March 31, 2025, our valuation allowance was comprised of net operating losses in Ireland</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the United Kingdom and totaled $452,000. During the quarter ended March 31, 2024, we secured a worthless stock deduction for our dissolved Singapore entity, which allowed us to recognize a current tax deduction during the 2024 period and, accordingly, we reversed $162,000 of our valuation allowance balance. At December 31, 2024, our valuation allowance balance totaled $452,000.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0"/>
              <w:jc w:val="left"/>
              <w:rPr>
                <w:b/>
                <w:spacing w:val="0"/>
              </w:rPr>
            </w:pPr>
            <w:r>
              <w:rPr>
                <w:b/>
                <w:spacing w:val="0"/>
              </w:rPr>
              <w:t>10.</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8, 2023, the Company announced that the Board of Directors authorized a share repurchase program of up to 500,000 shares of the Company’s common stock over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120" w:after="0"/>
        <w:jc w:val="left"/>
        <w:rPr>
          <w:rFonts w:ascii="Times New Roman" w:hAnsi="Times New Roman"/>
          <w:sz w:val="20"/>
        </w:rPr>
      </w:pPr>
      <w:r>
        <w:rPr>
          <w:rFonts w:ascii="Times New Roman" w:hAnsi="Times New Roman"/>
          <w:sz w:val="20"/>
        </w:rPr>
        <w:t xml:space="preserve">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three months ended March 31, 2025, the Company did not repurchase any shares of common stock. During the three months ended March 31,2024, the Company repurchased 9,222 shares of common stock at an average price of $8.70 per share under this program. On February 19, 2025, the Company announced that the Board of Directors had authorized an extension of its previously announced share repurchase program for an additional year through February 8, 2026. Common shares available for share repurchase under this program totaled 423,000 shares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Company makes stock purchases from time to time to satisfy employee tax obligations related to its Stock Incentive Plan. The Company did not purchase any shares to satisfy employee tax obligations during the three months ended March 31, 2025 and 2024.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335"/>
        <w:gridCol w:w="2300"/>
      </w:tblGrid>
      <w:tr>
        <w:trPr/>
        <w:tc>
          <w:tcPr>
            <w:tcW w:w="335" w:type="dxa"/>
            <w:tcBorders/>
            <w:vAlign w:val="center"/>
          </w:tcPr>
          <w:p>
            <w:pPr>
              <w:pStyle w:val="TableContents"/>
              <w:bidi w:val="0"/>
              <w:spacing w:before="0" w:after="0"/>
              <w:jc w:val="left"/>
              <w:rPr>
                <w:b/>
                <w:spacing w:val="0"/>
              </w:rPr>
            </w:pPr>
            <w:r>
              <w:rPr>
                <w:b/>
                <w:spacing w:val="0"/>
              </w:rPr>
              <w:t>11.</w:t>
            </w:r>
          </w:p>
        </w:tc>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The dilutive effect of stock options was calculated using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and 2024, all stock options and restricted shares were anti-dilutive and excluded from the computation of diluted (loss)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4465" w:type="dxa"/>
        <w:jc w:val="left"/>
        <w:tblInd w:w="0" w:type="dxa"/>
        <w:tblLayout w:type="fixed"/>
        <w:tblCellMar>
          <w:top w:w="0" w:type="dxa"/>
          <w:left w:w="0" w:type="dxa"/>
          <w:bottom w:w="0" w:type="dxa"/>
          <w:right w:w="0" w:type="dxa"/>
        </w:tblCellMar>
      </w:tblPr>
      <w:tblGrid>
        <w:gridCol w:w="335"/>
        <w:gridCol w:w="4130"/>
      </w:tblGrid>
      <w:tr>
        <w:trPr/>
        <w:tc>
          <w:tcPr>
            <w:tcW w:w="335" w:type="dxa"/>
            <w:tcBorders/>
            <w:vAlign w:val="center"/>
          </w:tcPr>
          <w:p>
            <w:pPr>
              <w:pStyle w:val="TableContents"/>
              <w:bidi w:val="0"/>
              <w:spacing w:before="0" w:after="0"/>
              <w:jc w:val="left"/>
              <w:rPr>
                <w:b/>
                <w:spacing w:val="0"/>
              </w:rPr>
            </w:pPr>
            <w:r>
              <w:rPr>
                <w:b/>
                <w:spacing w:val="0"/>
              </w:rPr>
              <w:t>12.</w:t>
            </w:r>
          </w:p>
        </w:tc>
        <w:tc>
          <w:tcPr>
            <w:tcW w:w="4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Segments and Geographic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reporting segments are: 1) Data and Analytics Services; and 2) IT Staffing Services. </w:t>
      </w:r>
    </w:p>
    <w:p>
      <w:pPr>
        <w:pStyle w:val="TextBody"/>
        <w:bidi w:val="0"/>
        <w:spacing w:before="240" w:after="0"/>
        <w:jc w:val="left"/>
        <w:rPr>
          <w:rFonts w:ascii="Times New Roman" w:hAnsi="Times New Roman"/>
          <w:sz w:val="20"/>
        </w:rPr>
      </w:pPr>
      <w:r>
        <w:rPr>
          <w:rFonts w:ascii="Times New Roman" w:hAnsi="Times New Roman"/>
          <w:sz w:val="20"/>
        </w:rPr>
        <w:t xml:space="preserve">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Project-based</w:t>
      </w:r>
    </w:p>
    <w:p>
      <w:pPr>
        <w:pStyle w:val="TextBody"/>
        <w:bidi w:val="0"/>
        <w:spacing w:before="240" w:after="0"/>
        <w:jc w:val="left"/>
        <w:rPr>
          <w:rFonts w:ascii="Times New Roman" w:hAnsi="Times New Roman"/>
          <w:sz w:val="20"/>
        </w:rPr>
      </w:pPr>
      <w:r>
        <w:rPr>
          <w:rFonts w:ascii="Times New Roman" w:hAnsi="Times New Roman"/>
          <w:sz w:val="20"/>
        </w:rPr>
        <w:t xml:space="preserve">delivery reflects a combination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on-site</w:t>
      </w:r>
    </w:p>
    <w:p>
      <w:pPr>
        <w:pStyle w:val="TextBody"/>
        <w:bidi w:val="0"/>
        <w:spacing w:before="240" w:after="0"/>
        <w:jc w:val="left"/>
        <w:rPr>
          <w:rFonts w:ascii="Times New Roman" w:hAnsi="Times New Roman"/>
          <w:sz w:val="20"/>
        </w:rPr>
      </w:pPr>
      <w:r>
        <w:rPr>
          <w:rFonts w:ascii="Times New Roman" w:hAnsi="Times New Roman"/>
          <w:sz w:val="20"/>
        </w:rPr>
        <w:t xml:space="preserve">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applications across sales, marketing and customer service organizations. </w:t>
      </w:r>
    </w:p>
    <w:p>
      <w:pPr>
        <w:pStyle w:val="TextBody"/>
        <w:bidi w:val="0"/>
        <w:spacing w:before="240" w:after="0"/>
        <w:jc w:val="left"/>
        <w:rPr>
          <w:rFonts w:ascii="Times New Roman" w:hAnsi="Times New Roman"/>
          <w:sz w:val="20"/>
        </w:rPr>
      </w:pPr>
      <w:r>
        <w:rPr>
          <w:rFonts w:ascii="Times New Roman" w:hAnsi="Times New Roman"/>
          <w:sz w:val="20"/>
        </w:rPr>
        <w:t xml:space="preserve">The IT Staffing Services segment offers staffing services in digital and mainstream technologies, engineering services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 Below are the operating results of our reporting segments. </w:t>
      </w:r>
    </w:p>
    <w:p>
      <w:pPr>
        <w:pStyle w:val="TextBody"/>
        <w:bidi w:val="0"/>
        <w:spacing w:before="0" w:after="0"/>
        <w:jc w:val="left"/>
        <w:rPr/>
      </w:pPr>
      <w:r>
        <w:rPr/>
        <w:t> </w:t>
      </w:r>
    </w:p>
    <w:tbl>
      <w:tblPr>
        <w:tblW w:w="5608" w:type="dxa"/>
        <w:jc w:val="left"/>
        <w:tblInd w:w="0" w:type="dxa"/>
        <w:tblLayout w:type="fixed"/>
        <w:tblCellMar>
          <w:top w:w="0" w:type="dxa"/>
          <w:left w:w="0" w:type="dxa"/>
          <w:bottom w:w="0" w:type="dxa"/>
          <w:right w:w="0" w:type="dxa"/>
        </w:tblCellMar>
      </w:tblPr>
      <w:tblGrid>
        <w:gridCol w:w="2750"/>
        <w:gridCol w:w="120"/>
        <w:gridCol w:w="172"/>
        <w:gridCol w:w="841"/>
        <w:gridCol w:w="339"/>
        <w:gridCol w:w="74"/>
        <w:gridCol w:w="172"/>
        <w:gridCol w:w="850"/>
        <w:gridCol w:w="290"/>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(Amounts in thousands)</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8,960</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8,067</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39,357</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38,756</w:t>
            </w:r>
          </w:p>
        </w:tc>
        <w:tc>
          <w:tcPr>
            <w:tcW w:w="29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48,317</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46,823</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5,013</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4,322</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30,412</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30,370</w:t>
            </w:r>
          </w:p>
        </w:tc>
        <w:tc>
          <w:tcPr>
            <w:tcW w:w="29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revenues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35,425</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34,692</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3,947</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3,745</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8,945</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8,386</w:t>
            </w:r>
          </w:p>
        </w:tc>
        <w:tc>
          <w:tcPr>
            <w:tcW w:w="29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12,892</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12,131</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Margin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44.1</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46.4</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22.7</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21.6</w:t>
            </w:r>
          </w:p>
        </w:tc>
        <w:tc>
          <w:tcPr>
            <w:tcW w:w="29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margin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26.7</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25.9</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&amp; Marketing Expenses: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2,054</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2,417</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2,247</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2,164</w:t>
            </w:r>
          </w:p>
        </w:tc>
        <w:tc>
          <w:tcPr>
            <w:tcW w:w="29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sales &amp; marketing expenses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4,301</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4,581</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7497" w:type="dxa"/>
        <w:jc w:val="left"/>
        <w:tblInd w:w="0" w:type="dxa"/>
        <w:tblLayout w:type="fixed"/>
        <w:tblCellMar>
          <w:top w:w="0" w:type="dxa"/>
          <w:left w:w="0" w:type="dxa"/>
          <w:bottom w:w="0" w:type="dxa"/>
          <w:right w:w="0" w:type="dxa"/>
        </w:tblCellMar>
      </w:tblPr>
      <w:tblGrid>
        <w:gridCol w:w="4760"/>
        <w:gridCol w:w="120"/>
        <w:gridCol w:w="194"/>
        <w:gridCol w:w="887"/>
        <w:gridCol w:w="215"/>
        <w:gridCol w:w="167"/>
        <w:gridCol w:w="194"/>
        <w:gridCol w:w="790"/>
        <w:gridCol w:w="170"/>
      </w:tblGrid>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7" w:type="dxa"/>
            <w:gridSpan w:val="6"/>
            <w:tcBorders/>
            <w:vAlign w:val="center"/>
          </w:tcPr>
          <w:p>
            <w:pPr>
              <w:pStyle w:val="TableContents"/>
              <w:bidi w:val="0"/>
              <w:spacing w:before="0" w:after="0"/>
              <w:jc w:val="center"/>
              <w:rPr>
                <w:b/>
                <w:spacing w:val="0"/>
              </w:rPr>
            </w:pPr>
            <w:r>
              <w:rPr>
                <w:b/>
                <w:spacing w:val="0"/>
              </w:rPr>
              <w:t>(Amounts in thousands)</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Operations Expenses:</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152</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167</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2,067</w:t>
            </w:r>
          </w:p>
        </w:tc>
        <w:tc>
          <w:tcPr>
            <w:tcW w:w="21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1,927</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7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operation expenses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2,219</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2,094</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7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&amp; Administrative Expenses:</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1,869</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1,615</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4,297</w:t>
            </w:r>
          </w:p>
        </w:tc>
        <w:tc>
          <w:tcPr>
            <w:tcW w:w="21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3,554</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7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&amp; administrative expenses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6,166</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5,169</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7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Segment operating income (loss):</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(128</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(454</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334</w:t>
            </w:r>
          </w:p>
        </w:tc>
        <w:tc>
          <w:tcPr>
            <w:tcW w:w="21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741</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7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206</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287</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Cost:</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(650</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(693</w:t>
            </w:r>
          </w:p>
        </w:tc>
        <w:tc>
          <w:tcPr>
            <w:tcW w:w="17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Severance expense</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(1,409</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4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(expense), FX, gains (losses) and other, net</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91</w:t>
            </w:r>
          </w:p>
        </w:tc>
        <w:tc>
          <w:tcPr>
            <w:tcW w:w="21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124</w:t>
            </w:r>
          </w:p>
        </w:tc>
        <w:tc>
          <w:tcPr>
            <w:tcW w:w="170"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7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(1,762</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282</w:t>
            </w:r>
          </w:p>
        </w:tc>
        <w:tc>
          <w:tcPr>
            <w:tcW w:w="17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2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7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Below is a reconciliation of segm</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ent </w:t>
      </w:r>
    </w:p>
    <w:p>
      <w:pPr>
        <w:pStyle w:val="TextBody"/>
        <w:bidi w:val="0"/>
        <w:spacing w:before="240" w:after="0"/>
        <w:jc w:val="left"/>
        <w:rPr>
          <w:rFonts w:ascii="Times New Roman" w:hAnsi="Times New Roman"/>
          <w:sz w:val="20"/>
        </w:rPr>
      </w:pPr>
      <w:r>
        <w:rPr>
          <w:rFonts w:ascii="Times New Roman" w:hAnsi="Times New Roman"/>
          <w:sz w:val="20"/>
        </w:rPr>
        <w:t>total assets to co</w:t>
      </w:r>
    </w:p>
    <w:p>
      <w:pPr>
        <w:pStyle w:val="TextBody"/>
        <w:bidi w:val="0"/>
        <w:spacing w:before="240" w:after="0"/>
        <w:jc w:val="left"/>
        <w:rPr>
          <w:rFonts w:ascii="Times New Roman" w:hAnsi="Times New Roman"/>
          <w:spacing w:val="0"/>
          <w:sz w:val="20"/>
        </w:rPr>
      </w:pPr>
      <w:r>
        <w:rPr>
          <w:rFonts w:ascii="Times New Roman" w:hAnsi="Times New Roman"/>
          <w:spacing w:val="0"/>
          <w:sz w:val="20"/>
        </w:rPr>
        <w:t>nsoli</w:t>
      </w:r>
    </w:p>
    <w:p>
      <w:pPr>
        <w:pStyle w:val="TextBody"/>
        <w:bidi w:val="0"/>
        <w:spacing w:before="240" w:after="0"/>
        <w:jc w:val="left"/>
        <w:rPr>
          <w:rFonts w:ascii="Times New Roman" w:hAnsi="Times New Roman"/>
          <w:sz w:val="20"/>
        </w:rPr>
      </w:pPr>
      <w:r>
        <w:rPr>
          <w:rFonts w:ascii="Times New Roman" w:hAnsi="Times New Roman"/>
          <w:sz w:val="20"/>
        </w:rPr>
        <w:t xml:space="preserve">dated total assets: </w:t>
      </w:r>
    </w:p>
    <w:p>
      <w:pPr>
        <w:pStyle w:val="TextBody"/>
        <w:bidi w:val="0"/>
        <w:spacing w:before="0" w:after="0"/>
        <w:jc w:val="left"/>
        <w:rPr/>
      </w:pPr>
      <w:r>
        <w:rPr/>
        <w:t> </w:t>
      </w:r>
    </w:p>
    <w:tbl>
      <w:tblPr>
        <w:tblW w:w="5158" w:type="dxa"/>
        <w:jc w:val="left"/>
        <w:tblInd w:w="0" w:type="dxa"/>
        <w:tblLayout w:type="fixed"/>
        <w:tblCellMar>
          <w:top w:w="0" w:type="dxa"/>
          <w:left w:w="0" w:type="dxa"/>
          <w:bottom w:w="0" w:type="dxa"/>
          <w:right w:w="0" w:type="dxa"/>
        </w:tblCellMar>
      </w:tblPr>
      <w:tblGrid>
        <w:gridCol w:w="2300"/>
        <w:gridCol w:w="120"/>
        <w:gridCol w:w="158"/>
        <w:gridCol w:w="911"/>
        <w:gridCol w:w="60"/>
        <w:gridCol w:w="120"/>
        <w:gridCol w:w="209"/>
        <w:gridCol w:w="1205"/>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3"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right"/>
              <w:rPr/>
            </w:pPr>
            <w:r>
              <w:rPr/>
              <w:t>42,323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44,053</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67,753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67,431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1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11" w:type="dxa"/>
            <w:tcBorders/>
            <w:vAlign w:val="center"/>
          </w:tcPr>
          <w:p>
            <w:pPr>
              <w:pStyle w:val="TableContents"/>
              <w:bidi w:val="0"/>
              <w:spacing w:before="0" w:after="283"/>
              <w:jc w:val="right"/>
              <w:rPr/>
            </w:pPr>
            <w:r>
              <w:rPr/>
              <w:t>110,076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111,484</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91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Below is geographic information related to our revenues from external customers: </w:t>
      </w:r>
    </w:p>
    <w:p>
      <w:pPr>
        <w:pStyle w:val="TextBody"/>
        <w:bidi w:val="0"/>
        <w:spacing w:before="0" w:after="0"/>
        <w:jc w:val="left"/>
        <w:rPr/>
      </w:pPr>
      <w:r>
        <w:rPr/>
        <w:t> </w:t>
      </w:r>
    </w:p>
    <w:tbl>
      <w:tblPr>
        <w:tblW w:w="3936" w:type="dxa"/>
        <w:jc w:val="left"/>
        <w:tblInd w:w="0" w:type="dxa"/>
        <w:tblLayout w:type="fixed"/>
        <w:tblCellMar>
          <w:top w:w="0" w:type="dxa"/>
          <w:left w:w="0" w:type="dxa"/>
          <w:bottom w:w="0" w:type="dxa"/>
          <w:right w:w="0" w:type="dxa"/>
        </w:tblCellMar>
      </w:tblPr>
      <w:tblGrid>
        <w:gridCol w:w="1295"/>
        <w:gridCol w:w="120"/>
        <w:gridCol w:w="187"/>
        <w:gridCol w:w="913"/>
        <w:gridCol w:w="79"/>
        <w:gridCol w:w="159"/>
        <w:gridCol w:w="187"/>
        <w:gridCol w:w="921"/>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47,752</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21" w:type="dxa"/>
            <w:tcBorders/>
            <w:shd w:fill="CCEEFF" w:val="clear"/>
            <w:vAlign w:val="center"/>
          </w:tcPr>
          <w:p>
            <w:pPr>
              <w:pStyle w:val="TableContents"/>
              <w:bidi w:val="0"/>
              <w:spacing w:before="0" w:after="283"/>
              <w:jc w:val="right"/>
              <w:rPr/>
            </w:pPr>
            <w:r>
              <w:rPr/>
              <w:t>46,116</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130</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294</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 and Other</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435</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413</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2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48,317</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21" w:type="dxa"/>
            <w:tcBorders/>
            <w:vAlign w:val="center"/>
          </w:tcPr>
          <w:p>
            <w:pPr>
              <w:pStyle w:val="TableContents"/>
              <w:bidi w:val="0"/>
              <w:spacing w:before="0" w:after="283"/>
              <w:jc w:val="right"/>
              <w:rPr/>
            </w:pPr>
            <w:r>
              <w:rPr/>
              <w:t>46,823</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2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625" w:type="dxa"/>
        <w:jc w:val="left"/>
        <w:tblInd w:w="0" w:type="dxa"/>
        <w:tblLayout w:type="fixed"/>
        <w:tblCellMar>
          <w:top w:w="0" w:type="dxa"/>
          <w:left w:w="0" w:type="dxa"/>
          <w:bottom w:w="0" w:type="dxa"/>
          <w:right w:w="0" w:type="dxa"/>
        </w:tblCellMar>
      </w:tblPr>
      <w:tblGrid>
        <w:gridCol w:w="335"/>
        <w:gridCol w:w="3290"/>
      </w:tblGrid>
      <w:tr>
        <w:trPr/>
        <w:tc>
          <w:tcPr>
            <w:tcW w:w="335" w:type="dxa"/>
            <w:tcBorders/>
            <w:vAlign w:val="center"/>
          </w:tcPr>
          <w:p>
            <w:pPr>
              <w:pStyle w:val="TableContents"/>
              <w:bidi w:val="0"/>
              <w:spacing w:before="0" w:after="0"/>
              <w:jc w:val="left"/>
              <w:rPr>
                <w:b/>
                <w:spacing w:val="0"/>
              </w:rPr>
            </w:pPr>
            <w:r>
              <w:rPr>
                <w:b/>
                <w:spacing w:val="0"/>
              </w:rPr>
              <w:t>13.</w:t>
            </w:r>
          </w:p>
        </w:tc>
        <w:tc>
          <w:tcPr>
            <w:tcW w:w="3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Recently Issued Accounting Standards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Financial Accounting Standards Board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pPr>
      <w:r>
        <w:rPr/>
        <w:t>“</w:t>
      </w:r>
      <w:r>
        <w:rPr>
          <w:rFonts w:ascii="Times New Roman" w:hAnsi="Times New Roman"/>
          <w:sz w:val="20"/>
        </w:rPr>
        <w:t xml:space="preserve">Income Taxes (Topic 740): Improvements to Income Tax Disclosures”. The amendments in this ASU are intended to enhance the transparency and usefulness of income tax disclosures and provide for specific rate reconciliation categories; additional disclosure for reconciling items that meet a quantitative threshold; and disclosure of federal, state and foreign income taxes paid by individual jurisdiction. The amendments in this ASU are effective for annual periods beginning after December 15, 2024. Early adoption is permitted. The Company does not expect this ASU to have a material impact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pPr>
      <w:r>
        <w:rPr/>
        <w:t>“</w:t>
      </w:r>
      <w:r>
        <w:rPr>
          <w:rFonts w:ascii="Times New Roman" w:hAnsi="Times New Roman"/>
          <w:sz w:val="20"/>
        </w:rPr>
        <w:t xml:space="preserve">Income Statement – Reporting Comprehensive Income – Expense Disaggregation Disclosures (Subtopic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240" w:after="0"/>
        <w:jc w:val="left"/>
        <w:rPr>
          <w:rFonts w:ascii="Times New Roman" w:hAnsi="Times New Roman"/>
          <w:sz w:val="20"/>
        </w:rPr>
      </w:pPr>
      <w:r>
        <w:rPr>
          <w:rFonts w:ascii="Times New Roman" w:hAnsi="Times New Roman"/>
          <w:sz w:val="20"/>
        </w:rPr>
        <w:t xml:space="preserve">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does not expect this ASU to have a material impact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9315"/>
      </w:tblGrid>
      <w:tr>
        <w:trPr/>
        <w:tc>
          <w:tcPr>
            <w:tcW w:w="890" w:type="dxa"/>
            <w:tcBorders/>
            <w:vAlign w:val="center"/>
          </w:tcPr>
          <w:p>
            <w:pPr>
              <w:pStyle w:val="TableContents"/>
              <w:bidi w:val="0"/>
              <w:spacing w:before="0" w:after="283"/>
              <w:jc w:val="left"/>
              <w:rPr>
                <w:b/>
              </w:rPr>
            </w:pPr>
            <w:bookmarkStart w:id="4" w:name="toc941386_9"/>
            <w:bookmarkEnd w:id="4"/>
            <w:r>
              <w:rPr>
                <w:b/>
              </w:rPr>
              <w:t>ITEM 2.</w:t>
            </w:r>
          </w:p>
        </w:tc>
        <w:tc>
          <w:tcPr>
            <w:tcW w:w="9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should read the following discussion in conjunction with our audited consolidated financial statements and accompanying notes for the year ended December 31, 2024, included in our Annual Report on Form 10-K, filed with the Securities and Exchange Commission (“SEC”) on March 14, 2025.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2024.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Website Access to SEC Reports: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website is www.mastechdigital.com. The Company’s Annual Report on Form 10-K for the year ended December 31, 2024, current reports on Form 8-K and all other reports filed with the SEC, are available free of charge on the Investors page. The website is updated as soon as reasonably practical after such reports are filed electronically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2024 for a more detailed discussion of our significant accounting policies and critical accounting estimates. There were no material changes to these critical accounting policies during the three months ended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Primentor, Inc. 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12, 2024, we entered into a consulting services agreement with Primentor, Inc. (“Primentor”) to provide the Company with strategic advisory and management consulting services, as well as any other business and organizational strategy services as the Board of Directors of Company may reasonably request from time to time. The initial term of the consulting services agreement is for a three-year period that commenced on January 12, 2024, and the Company may request to renew the term for additional successive one-year terms, in which case Primentor and the Company will negotiate to agree upon the scope of the additional services and the amount of additional consulting fees. During 2024, the Company incurred consulting expenses of approximately $1.1 million related to these services. In 2025 and 2026, the Company expects to pay Primentor approximately $270,000 and $120,000, respectively, plus reimbursement of any reasonable and documented out-of-pocket expenses incurred by Primentor in rendering such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Transition of the Company’s finance and accounting functions to India: </w:t>
      </w:r>
    </w:p>
    <w:p>
      <w:pPr>
        <w:pStyle w:val="TextBody"/>
        <w:bidi w:val="0"/>
        <w:spacing w:before="120" w:after="0"/>
        <w:jc w:val="left"/>
        <w:rPr>
          <w:rFonts w:ascii="Times New Roman" w:hAnsi="Times New Roman"/>
          <w:sz w:val="20"/>
        </w:rPr>
      </w:pPr>
      <w:r>
        <w:rPr>
          <w:rFonts w:ascii="Times New Roman" w:hAnsi="Times New Roman"/>
          <w:sz w:val="20"/>
        </w:rPr>
        <w:t xml:space="preserve">During the first quarter of 2025, the Company’s Board of Directors made the decision to implement a long-term cost-cutting initiative to transition the Company’s finance and accounting functions to India. During 2025, the Company expects to incur additional costs related to the duplication of resources and travel expenses during the training and knowledge transfer process. This estimated additional expense is expected to range from $500,000 to $750,000 during the transition period. Additionally, the Company expects to pay approximately $1.3 million of severance expense related to this initiative. Post-transition cost savings are expected to approximate $1.2 million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provider of Digital Transformation IT Services to mostly large and medium-sized organizations.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of offerings includes data management and analytics services, other digital transformation services, such as digital learning services, and IT Staffing Services. </w:t>
      </w:r>
    </w:p>
    <w:p>
      <w:pPr>
        <w:pStyle w:val="TextBody"/>
        <w:bidi w:val="0"/>
        <w:spacing w:before="240" w:after="0"/>
        <w:jc w:val="left"/>
        <w:rPr>
          <w:rFonts w:ascii="Times New Roman" w:hAnsi="Times New Roman"/>
          <w:sz w:val="20"/>
        </w:rPr>
      </w:pPr>
      <w:r>
        <w:rPr>
          <w:rFonts w:ascii="Times New Roman" w:hAnsi="Times New Roman"/>
          <w:sz w:val="20"/>
        </w:rPr>
        <w:t xml:space="preserve">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other digital transformation services. </w:t>
      </w:r>
    </w:p>
    <w:p>
      <w:pPr>
        <w:pStyle w:val="TextBody"/>
        <w:bidi w:val="0"/>
        <w:spacing w:before="240" w:after="0"/>
        <w:jc w:val="left"/>
        <w:rPr>
          <w:rFonts w:ascii="Times New Roman" w:hAnsi="Times New Roman"/>
          <w:sz w:val="20"/>
        </w:rPr>
      </w:pPr>
      <w:r>
        <w:rPr>
          <w:rFonts w:ascii="Times New Roman" w:hAnsi="Times New Roman"/>
          <w:sz w:val="20"/>
        </w:rPr>
        <w:t xml:space="preserve">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and Analytics: </w:t>
      </w:r>
    </w:p>
    <w:p>
      <w:pPr>
        <w:pStyle w:val="TextBody"/>
        <w:bidi w:val="0"/>
        <w:spacing w:before="120" w:after="0"/>
        <w:jc w:val="left"/>
        <w:rPr>
          <w:rFonts w:ascii="Times New Roman" w:hAnsi="Times New Roman"/>
          <w:sz w:val="20"/>
        </w:rPr>
      </w:pPr>
      <w:r>
        <w:rPr>
          <w:rFonts w:ascii="Times New Roman" w:hAnsi="Times New Roman"/>
          <w:sz w:val="20"/>
        </w:rPr>
        <w:t xml:space="preserve">We provide information regarding our new bookings in our Data and Analytics Services segment, which represents the estimated value of client engagements, including those acquired through acquisitions, as well as renewals and extensions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Economic Trends and Outlook: </w:t>
      </w:r>
    </w:p>
    <w:p>
      <w:pPr>
        <w:pStyle w:val="TextBody"/>
        <w:bidi w:val="0"/>
        <w:spacing w:before="120" w:after="0"/>
        <w:jc w:val="left"/>
        <w:rPr>
          <w:rFonts w:ascii="Times New Roman" w:hAnsi="Times New Roman"/>
          <w:sz w:val="20"/>
        </w:rPr>
      </w:pPr>
      <w:r>
        <w:rPr>
          <w:rFonts w:ascii="Times New Roman" w:hAnsi="Times New Roman"/>
          <w:sz w:val="20"/>
        </w:rPr>
        <w:t xml:space="preserve">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had caused some uncertainty and disruption in the global markets. In 2022 and 2023, COVID-19-related concerns seemed to subside; however, increased inflation, challenges in the financial sector related to increasing interest rates, and concerns about a possible recession created much uncertainty and impacted demand for our services in the second half of 2022 and for the entire year of 2023. In 2024, economic conditions in North American improved over the course of the year as job growth and inflationary outlooks showed positive signs of improvement. As we enter 2025, a new level of uncertainty and caution has returned to the marketplace, largely related to unknowns with respect to the incoming administration’s policies that it is likely to adopt and the impact of such policies on our businesses. Accordingly, it is difficult to predict how market conditions are going to unfold over the course of 2025 and beyond.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2024). Accordingly, our trends and outlook are additionally impacted by the prospects and well-being of these specific clients. This “account concentration” factor may result in our results of operations deviating from the prevailing economic trends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Within our IT Staffing Services segment, a larger portion of our revenues has come from strategic relationships with systems integrators. Additionally, many large end users of IT staffing services are employing MSPs to manage their contractor spending. Both of these dynamics may pressure our IT staffing gross margins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Recent growth in advanced technologies (social, cloud, analytics, mobility, automation) is providing opportunities within our IT Staffing Services segment. However, supply side challenges have proven to be acute with respect to many of these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for the Three Months Ended March 31, 2025 as Compared to the Three Months Ended March 31, 2024: </w:t>
      </w:r>
    </w:p>
    <w:p>
      <w:pPr>
        <w:pStyle w:val="TextBody"/>
        <w:bidi w:val="0"/>
        <w:spacing w:before="120" w:after="0"/>
        <w:jc w:val="left"/>
        <w:rPr>
          <w:rFonts w:ascii="Times New Roman" w:hAnsi="Times New Roman"/>
          <w:i/>
          <w:sz w:val="20"/>
        </w:rPr>
      </w:pPr>
      <w:r>
        <w:rPr>
          <w:rFonts w:ascii="Times New Roman" w:hAnsi="Times New Roman"/>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Revenues for the three months ended March 31, 2025, totaled $48.3 million, compared to $46.8 million for the corresponding three-month period in 2024. This 3% year-over-year revenue increase reflected 11% growth in our Data and Analytics Services segment and 2% growth in our IT Staffing Services segment. For the three months ended March 31, 2025, the Company had three clients that each had revenues in excess of 10% of total revenues (Fidelity =12.9%, CGI = 11.9% and Populus = 11.7%). For the three months ended March 31, 2024, the Company had one client that had revenues in excess of 10% of total revenues (CGI = 17.4%). The Company’s top ten clients represented approximately 56% and 51% of total revenues for the three months ended March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Below is a tabular presentation of revenues by reportable segment for the three months ended March 31, 2025, and 2024, respectively: </w:t>
      </w:r>
    </w:p>
    <w:p>
      <w:pPr>
        <w:pStyle w:val="TextBody"/>
        <w:bidi w:val="0"/>
        <w:spacing w:before="0" w:after="0"/>
        <w:jc w:val="left"/>
        <w:rPr/>
      </w:pPr>
      <w:r>
        <w:rPr/>
        <w:t> </w:t>
      </w:r>
    </w:p>
    <w:tbl>
      <w:tblPr>
        <w:tblW w:w="7035" w:type="dxa"/>
        <w:jc w:val="left"/>
        <w:tblInd w:w="0" w:type="dxa"/>
        <w:tblLayout w:type="fixed"/>
        <w:tblCellMar>
          <w:top w:w="0" w:type="dxa"/>
          <w:left w:w="0" w:type="dxa"/>
          <w:bottom w:w="0" w:type="dxa"/>
          <w:right w:w="0" w:type="dxa"/>
        </w:tblCellMar>
      </w:tblPr>
      <w:tblGrid>
        <w:gridCol w:w="2300"/>
        <w:gridCol w:w="120"/>
        <w:gridCol w:w="533"/>
        <w:gridCol w:w="1677"/>
        <w:gridCol w:w="60"/>
        <w:gridCol w:w="120"/>
        <w:gridCol w:w="518"/>
        <w:gridCol w:w="1632"/>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Revenues (Amounts in millions)</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2024</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8.1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39.3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right"/>
              <w:rPr/>
            </w:pPr>
            <w:r>
              <w:rPr/>
              <w:t>38.7</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8" w:type="dxa"/>
            <w:tcBorders/>
            <w:vAlign w:val="center"/>
          </w:tcPr>
          <w:p>
            <w:pPr>
              <w:pStyle w:val="TableContents"/>
              <w:pBdr>
                <w:top w:val="single" w:sz="2" w:space="1" w:color="000000"/>
              </w:pBdr>
              <w:bidi w:val="0"/>
              <w:spacing w:before="0" w:after="0"/>
              <w:jc w:val="left"/>
              <w:rPr/>
            </w:pPr>
            <w:r>
              <w:rPr/>
              <w:t> </w:t>
            </w:r>
          </w:p>
        </w:tc>
        <w:tc>
          <w:tcPr>
            <w:tcW w:w="163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48.3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46.8</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8" w:type="dxa"/>
            <w:tcBorders/>
            <w:vAlign w:val="center"/>
          </w:tcPr>
          <w:p>
            <w:pPr>
              <w:pStyle w:val="TableContents"/>
              <w:pBdr>
                <w:top w:val="double" w:sz="6" w:space="1" w:color="000000"/>
              </w:pBdr>
              <w:bidi w:val="0"/>
              <w:spacing w:before="0" w:after="0"/>
              <w:jc w:val="left"/>
              <w:rPr/>
            </w:pPr>
            <w:r>
              <w:rPr/>
              <w:t> </w:t>
            </w:r>
          </w:p>
        </w:tc>
        <w:tc>
          <w:tcPr>
            <w:tcW w:w="163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from our Data and Analytics Services segment totaled $9.0 million in the quarter ended March 31, 2025, compared to $8.1 million in the corresponding quarter last year. This 11% year-over-year increase reflected higher activity levels and new assignments from existing clients over the last several quarters. New bookings in the first quarter of 2025 totaled $11.7 million, compared to bookings of $9.6 million in the first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Revenues from our IT Staffing Services segment totaled $39.3 million during the three months ended March 31, 2025, compared to $38.7 million during the corresponding 2024 period. This 2% year-over-year increase reflected higher average billable consultants in the 2025 period, compared to the corresponding period last year. Billable consultants at March 31, 2025 totaled 991-consultants, compared to 1,004-consultants at March 31, 2024. For the 2025 quarter, our consultants on billing declined by 17 consultants from our billable consultant base at December 31, 2024. Our average bill rate during the first quarter of 2025 was $84.97 per hour, compared to $79.30 per hour in the first quarter of 2024. This increase in average bill rate was due to higher rates on new assignments during the last several quarters and was reflective of the types of skill sets that we deployed. Permanent placements / fee revenues were approximately $0.2 million during both the 2025 and 2024 first quarter.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Margins: </w:t>
      </w:r>
    </w:p>
    <w:p>
      <w:pPr>
        <w:pStyle w:val="TextBody"/>
        <w:bidi w:val="0"/>
        <w:spacing w:before="120" w:after="0"/>
        <w:jc w:val="left"/>
        <w:rPr>
          <w:rFonts w:ascii="Times New Roman" w:hAnsi="Times New Roman"/>
          <w:sz w:val="20"/>
        </w:rPr>
      </w:pPr>
      <w:r>
        <w:rPr>
          <w:rFonts w:ascii="Times New Roman" w:hAnsi="Times New Roman"/>
          <w:sz w:val="20"/>
        </w:rPr>
        <w:t xml:space="preserve">Gross profits in the first quarter of 2025 totaled $12.9 million, compared to $12.1 million in the first quarter of 2024. Gross profit as a percentage of revenue was 26.7% for the three-month period ended March 31, 2025, compared to 25.9% during the same period of 2024. This 80-basis point increase related to higher gross margins in our IT Staffing Services 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Below is a tabular presentation of gross margin by reporting segment for the three months ended March 31, 2025, and 2024 respectively: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300"/>
        <w:gridCol w:w="120"/>
        <w:gridCol w:w="265"/>
        <w:gridCol w:w="1945"/>
        <w:gridCol w:w="275"/>
        <w:gridCol w:w="60"/>
        <w:gridCol w:w="265"/>
        <w:gridCol w:w="1945"/>
        <w:gridCol w:w="29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Gross Margin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2024</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44.1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46.4</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22.7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21.6</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94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94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margin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26.7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25.9</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double" w:sz="6" w:space="1" w:color="000000"/>
              </w:pBdr>
              <w:bidi w:val="0"/>
              <w:spacing w:before="0" w:after="0"/>
              <w:jc w:val="left"/>
              <w:rPr/>
            </w:pPr>
            <w:r>
              <w:rPr/>
              <w:t> </w:t>
            </w:r>
          </w:p>
        </w:tc>
        <w:tc>
          <w:tcPr>
            <w:tcW w:w="1945"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double" w:sz="6" w:space="1" w:color="000000"/>
              </w:pBdr>
              <w:bidi w:val="0"/>
              <w:spacing w:before="0" w:after="0"/>
              <w:jc w:val="left"/>
              <w:rPr/>
            </w:pPr>
            <w:r>
              <w:rPr/>
              <w:t> </w:t>
            </w:r>
          </w:p>
        </w:tc>
        <w:tc>
          <w:tcPr>
            <w:tcW w:w="1945"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Gross margins from our Data and Analytics Services segment were 44.1% of revenues during the first quarter of 2025, compared to 46.4% of revenues during the first quarter of 2024. The gross margin decline reflected lower utilization and a reserve adjustment on a fixed price project during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Gross margins from our IT Staffing Services segment were 22.7% in the first quarter of 2025, compared to 21.6% in the corresponding quarter of 2024. This 110-basis point increase reflected higher margins on new contract assignments, and lower benefit costs in the first quarter of 2025, compared to the first quarter of 2024.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(“SG&amp;A”) Expenses: </w:t>
      </w:r>
    </w:p>
    <w:p>
      <w:pPr>
        <w:pStyle w:val="TextBody"/>
        <w:bidi w:val="0"/>
        <w:spacing w:before="120" w:after="0"/>
        <w:jc w:val="left"/>
        <w:rPr>
          <w:rFonts w:ascii="Times New Roman" w:hAnsi="Times New Roman"/>
          <w:sz w:val="20"/>
        </w:rPr>
      </w:pPr>
      <w:r>
        <w:rPr>
          <w:rFonts w:ascii="Times New Roman" w:hAnsi="Times New Roman"/>
          <w:sz w:val="20"/>
        </w:rPr>
        <w:t xml:space="preserve">Below is a tabular presentation of operating expenses by expense category for the three months ended March 31, 2025 and 2024, respectively: </w:t>
      </w:r>
    </w:p>
    <w:p>
      <w:pPr>
        <w:pStyle w:val="TextBody"/>
        <w:bidi w:val="0"/>
        <w:spacing w:before="0" w:after="0"/>
        <w:jc w:val="left"/>
        <w:rPr/>
      </w:pPr>
      <w:r>
        <w:rPr/>
        <w:t> </w:t>
      </w:r>
    </w:p>
    <w:tbl>
      <w:tblPr>
        <w:tblW w:w="8760" w:type="dxa"/>
        <w:jc w:val="left"/>
        <w:tblInd w:w="0" w:type="dxa"/>
        <w:tblLayout w:type="fixed"/>
        <w:tblCellMar>
          <w:top w:w="0" w:type="dxa"/>
          <w:left w:w="0" w:type="dxa"/>
          <w:bottom w:w="0" w:type="dxa"/>
          <w:right w:w="0" w:type="dxa"/>
        </w:tblCellMar>
      </w:tblPr>
      <w:tblGrid>
        <w:gridCol w:w="3965"/>
        <w:gridCol w:w="120"/>
        <w:gridCol w:w="533"/>
        <w:gridCol w:w="1677"/>
        <w:gridCol w:w="60"/>
        <w:gridCol w:w="120"/>
        <w:gridCol w:w="533"/>
        <w:gridCol w:w="1677"/>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b/>
              </w:rPr>
            </w:pPr>
            <w:r>
              <w:rPr>
                <w:b/>
              </w:rPr>
              <w:t>SG&amp;A Expenses (Amounts in millions)</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Data and Analytics Services Segment</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0.2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Data and Analytics Services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4.2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2390" w:type="dxa"/>
            <w:gridSpan w:val="4"/>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b/>
              </w:rPr>
            </w:pPr>
            <w:r>
              <w:rPr>
                <w:b/>
              </w:rPr>
              <w:t>SG&amp;A Expenses (Amounts in millions)</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IT Staffing Services Segment</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IT Staffing Services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7.6</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0.7</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Expense</w:t>
            </w:r>
          </w:p>
        </w:tc>
        <w:tc>
          <w:tcPr>
            <w:tcW w:w="120" w:type="dxa"/>
            <w:tcBorders/>
            <w:shd w:fill="CCEEFF" w:val="clear"/>
            <w:vAlign w:val="center"/>
          </w:tcPr>
          <w:p>
            <w:pPr>
              <w:pStyle w:val="TableContents"/>
              <w:bidi w:val="0"/>
              <w:spacing w:before="0" w:after="283"/>
              <w:jc w:val="left"/>
              <w:rPr/>
            </w:pPr>
            <w:r>
              <w:rPr/>
              <w:t>  </w:t>
            </w:r>
          </w:p>
        </w:tc>
        <w:tc>
          <w:tcPr>
            <w:tcW w:w="5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77" w:type="dxa"/>
            <w:tcBorders>
              <w:bottom w:val="double" w:sz="6" w:space="0" w:color="000000"/>
            </w:tcBorders>
            <w:shd w:fill="CCEEFF" w:val="clear"/>
            <w:tcMar>
              <w:bottom w:w="28" w:type="dxa"/>
            </w:tcM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SG&amp;A Expenses</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b/>
              </w:rPr>
            </w:pPr>
            <w:r>
              <w:rPr>
                <w:b/>
              </w:rPr>
              <w:t>$</w:t>
            </w:r>
          </w:p>
        </w:tc>
        <w:tc>
          <w:tcPr>
            <w:tcW w:w="1677" w:type="dxa"/>
            <w:tcBorders/>
            <w:vAlign w:val="center"/>
          </w:tcPr>
          <w:p>
            <w:pPr>
              <w:pStyle w:val="TableContents"/>
              <w:bidi w:val="0"/>
              <w:spacing w:before="0" w:after="283"/>
              <w:jc w:val="right"/>
              <w:rPr>
                <w:b/>
              </w:rPr>
            </w:pPr>
            <w:r>
              <w:rPr>
                <w:b/>
              </w:rPr>
              <w:t>14.7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b/>
              </w:rPr>
            </w:pPr>
            <w:r>
              <w:rPr>
                <w:b/>
              </w:rPr>
              <w:t>$</w:t>
            </w:r>
          </w:p>
        </w:tc>
        <w:tc>
          <w:tcPr>
            <w:tcW w:w="1677" w:type="dxa"/>
            <w:tcBorders/>
            <w:vAlign w:val="center"/>
          </w:tcPr>
          <w:p>
            <w:pPr>
              <w:pStyle w:val="TableContents"/>
              <w:bidi w:val="0"/>
              <w:spacing w:before="0" w:after="283"/>
              <w:jc w:val="right"/>
              <w:rPr>
                <w:b/>
              </w:rPr>
            </w:pPr>
            <w:r>
              <w:rPr>
                <w:b/>
              </w:rPr>
              <w:t>12.5</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SG&amp;A expenses for the three months ended March 31, 2025 totaled $14.7 million or 30.4% of total revenues, compared to $12.5 million or 26.7% of total revenues for the three-months ended March 31, 2024. Excluding the amortization of acquired intangible assets in both periods and severance expense in the first quarter of 2025, SG&amp;A expense as a percentage of total revenues was 26.3% and 25.2%, respectively. </w:t>
      </w:r>
    </w:p>
    <w:p>
      <w:pPr>
        <w:pStyle w:val="TextBody"/>
        <w:bidi w:val="0"/>
        <w:spacing w:before="240" w:after="0"/>
        <w:jc w:val="left"/>
        <w:rPr>
          <w:rFonts w:ascii="Times New Roman" w:hAnsi="Times New Roman"/>
          <w:sz w:val="20"/>
        </w:rPr>
      </w:pPr>
      <w:r>
        <w:rPr>
          <w:rFonts w:ascii="Times New Roman" w:hAnsi="Times New Roman"/>
          <w:sz w:val="20"/>
        </w:rPr>
        <w:t xml:space="preserve">Fluctuations within SG&amp;A expense components during the first quarter of 2025, compared to the first quarter of 2024,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expenses decreased by $0.3 million in the 2025 period compared to the corresponding 2024 period. Sales expenses in our Data and Analytics Services segment decreased $0.3 million due to lower staff headcount in our sales organization. Sales expenses in our IT Staffing Services segment were flat compared to the first quarter of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Operations expenses increased by $0.1 million in the 2025 period compared to the corresponding 2024 period. Operations expenses decreased $0.1 million in our Data and Analytics Services segment due to staff reductions. In our IT Staffing Services segment, operations expenses increased by $0.2 million and reflected an increase in commissions and other variable related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increased $1.1 million in the 2025 period compared to the corresponding 2024 period. General and administrative expenses allocated to both business segments increased due to higher executive compensation of $0.4 million, CEO recruitment fees of $0.3 million and higher stock-based compensation expense of approximately $0.4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acquired intangible assets was $0.6 million in the 2025 period, compared to $0.7 million in the corresponding 2024 period, as a portion of our intangible assets became fully amortized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Severance expense was $1.4 million in the 2025 period, compared to zero in the corresponding period of 2024. The severance expense related to the Company’s exiting Chief Financial Officer.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Income / (Expense) Components: </w:t>
      </w:r>
    </w:p>
    <w:p>
      <w:pPr>
        <w:pStyle w:val="TextBody"/>
        <w:bidi w:val="0"/>
        <w:spacing w:before="120" w:after="0"/>
        <w:jc w:val="left"/>
        <w:rPr>
          <w:rFonts w:ascii="Times New Roman" w:hAnsi="Times New Roman"/>
          <w:sz w:val="20"/>
        </w:rPr>
      </w:pPr>
      <w:r>
        <w:rPr>
          <w:rFonts w:ascii="Times New Roman" w:hAnsi="Times New Roman"/>
          <w:sz w:val="20"/>
        </w:rPr>
        <w:t xml:space="preserve">Other Income / (Expense) for the three months ended March 31,2025 consisted of interest income of $115,000 and foreign exchange losses of ($24,000). For the three months ended March 31, 2024 Other Income / (Expense) consisted of interest income of $154,000 and foreign exchange losses of ($30,000). Lower interest rates in 2025 compared to 2024 were largely responsible for the decline in the year-over-year interest income.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for the three months ended March 31,2025 totaled ($323,000), representing an effective tax rate on a pre-tax loss of 18.3%, compared to ($121,000) for the three months ended March 31, 2024, which represented a 42.9% effective tax rate on pre-tax income. The 2025 period tax rate compared to the 2024 period largely reflected the Company’s utilization of Singapore tax benefits during the 2024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i/>
          <w:sz w:val="20"/>
        </w:rPr>
      </w:pPr>
      <w:r>
        <w:rPr>
          <w:rFonts w:ascii="Times New Roman" w:hAnsi="Times New Roman"/>
          <w:i/>
          <w:sz w:val="20"/>
        </w:rPr>
        <w:t xml:space="preserve">Financial Conditions and Liquidity: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we had cash balances on hand of $24.7 million, no bank debt outstanding and approximately $23.7 million of borrowing capacity under our existing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Historically, we have funded our organic business needs with cash generated from operating activities. Controlling our operating working capital levels by closely managing our accounts receivable balance is an important element of cash generation. As of March 31, 2025, our accounts receivable “days sales outstanding” (“DSOs”) measurement was 56 days, in-line with our March 31, 2024 DSO measurement.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cash provided by operating activities, cash balances on hand and current availability under our credit facility will be adequate to fund our business needs and support our share repurchase program that we announced in February 2023 over the next 12-months, exclusive of any acquisition activity.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provided by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(used in) operating activities for the three months ended March 31,2025 totaled ($3.0 million) compared to cash (used in) operating activities of ($1.3 million) during the three months ended March 31, 2024. Elements of cash flows in the 2025 period were net (loss) of ($1.4 million), non-cash charges of $0.4 million, and an increase in operating working capital levels of ($2.0 million). During the three months ended March 31, 2024, elements of cash flows were a net loss of ($0.2 million), non-cash charges of $1.5 million and an increase in operating working capital levels of ($2.6 million). Operating working capital increased in 2025 and 2024 due to higher accounts receivable balances and payouts related to the Company’s annual bonus programs during the first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(used in) investing activities for the three months ended March 31,2025 was ($0.1 million) compared to ($0.3 million) for the three months ended March 31, 2024. In both 2025 and 2024 , capital expenditures were essentially responsible for our cash usage in investing activities.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(used in)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provided by financing activities for the three months ended March 31,2025 totaled $27,000 and consisted of proceeds from the exercise of stock options. Cash (used in) financings activities for the three months ended March 31, 2024, totaled ($80,000) and consisted of purchase of treasury shares under our share repurchase program. </w:t>
      </w:r>
    </w:p>
    <w:p>
      <w:pPr>
        <w:pStyle w:val="TextBody"/>
        <w:bidi w:val="0"/>
        <w:spacing w:before="360" w:after="0"/>
        <w:jc w:val="left"/>
        <w:rPr>
          <w:rFonts w:ascii="Times New Roman" w:hAnsi="Times New Roman"/>
          <w:i/>
          <w:sz w:val="20"/>
        </w:rPr>
      </w:pPr>
      <w:r>
        <w:rPr>
          <w:rFonts w:ascii="Times New Roman" w:hAnsi="Times New Roman"/>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Other than $324,000 in outstanding letters of credit issued under our Credit Agreement, we do not have any off-balance sheet arrangements. For further details about the outstanding letters of credit, refer to Note 8 — “Credit Facility” in the Notes to Condensed Consolidated Financial Statements included herein. </w:t>
      </w:r>
    </w:p>
    <w:p>
      <w:pPr>
        <w:pStyle w:val="TextBody"/>
        <w:bidi w:val="0"/>
        <w:spacing w:before="360" w:after="0"/>
        <w:jc w:val="left"/>
        <w:rPr>
          <w:rFonts w:ascii="Times New Roman" w:hAnsi="Times New Roman"/>
          <w:i/>
          <w:sz w:val="20"/>
        </w:rPr>
      </w:pPr>
      <w:r>
        <w:rPr>
          <w:rFonts w:ascii="Times New Roman" w:hAnsi="Times New Roman"/>
          <w:i/>
          <w:sz w:val="20"/>
        </w:rPr>
        <w:t xml:space="preserve">Inflation: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 if we elect to draw on our current or future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refer to “Item 1A. Risk factors” in our 2024 Annual Report on Form 10-K for a discussion about risks that inflation directly or indirectly may pose to our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Recent accounting pronouncements are described in Note 13 to the accompanying financial statements. </w:t>
      </w:r>
    </w:p>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905"/>
        <w:gridCol w:w="7025"/>
      </w:tblGrid>
      <w:tr>
        <w:trPr/>
        <w:tc>
          <w:tcPr>
            <w:tcW w:w="905" w:type="dxa"/>
            <w:tcBorders/>
            <w:vAlign w:val="center"/>
          </w:tcPr>
          <w:p>
            <w:pPr>
              <w:pStyle w:val="TableContents"/>
              <w:bidi w:val="0"/>
              <w:spacing w:before="0" w:after="283"/>
              <w:jc w:val="left"/>
              <w:rPr>
                <w:b/>
              </w:rPr>
            </w:pPr>
            <w:bookmarkStart w:id="5" w:name="toc941386_10"/>
            <w:bookmarkEnd w:id="5"/>
            <w:r>
              <w:rPr>
                <w:b/>
              </w:rPr>
              <w:t>ITEM 3.</w:t>
            </w:r>
          </w:p>
        </w:tc>
        <w:tc>
          <w:tcPr>
            <w:tcW w:w="7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to the inherent operational risks, the Company is exposed to certain market risks, primarily related to changes in interest rates and currency fluctuations.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we had no outstanding borrowings under the Credit Agreement — Refer to Note 8 — “Credit Facility” in the Notes to Condensed Consolidated Financial Statements, included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Currency Fluctuations </w:t>
      </w:r>
    </w:p>
    <w:p>
      <w:pPr>
        <w:pStyle w:val="TextBody"/>
        <w:bidi w:val="0"/>
        <w:spacing w:before="120" w:after="0"/>
        <w:jc w:val="left"/>
        <w:rPr>
          <w:rFonts w:ascii="Times New Roman" w:hAnsi="Times New Roman"/>
          <w:sz w:val="20"/>
        </w:rPr>
      </w:pPr>
      <w:r>
        <w:rPr>
          <w:rFonts w:ascii="Times New Roman" w:hAnsi="Times New Roman"/>
          <w:sz w:val="20"/>
        </w:rPr>
        <w:t xml:space="preserve">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quarter of 2025 would not have had a material impact on our consolidated financial statements.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905"/>
        <w:gridCol w:w="2975"/>
      </w:tblGrid>
      <w:tr>
        <w:trPr/>
        <w:tc>
          <w:tcPr>
            <w:tcW w:w="905" w:type="dxa"/>
            <w:tcBorders/>
            <w:vAlign w:val="center"/>
          </w:tcPr>
          <w:p>
            <w:pPr>
              <w:pStyle w:val="TableContents"/>
              <w:bidi w:val="0"/>
              <w:spacing w:before="0" w:after="283"/>
              <w:jc w:val="left"/>
              <w:rPr>
                <w:b/>
              </w:rPr>
            </w:pPr>
            <w:bookmarkStart w:id="6" w:name="toc941386_11"/>
            <w:bookmarkEnd w:id="6"/>
            <w:r>
              <w:rPr>
                <w:b/>
              </w:rPr>
              <w:t>ITEM 4.</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 </w:t>
      </w:r>
    </w:p>
    <w:p>
      <w:pPr>
        <w:pStyle w:val="TextBody"/>
        <w:bidi w:val="0"/>
        <w:spacing w:before="240" w:after="0"/>
        <w:jc w:val="left"/>
        <w:rPr>
          <w:rFonts w:ascii="Times New Roman" w:hAnsi="Times New Roman"/>
          <w:sz w:val="20"/>
        </w:rPr>
      </w:pPr>
      <w:r>
        <w:rPr>
          <w:rFonts w:ascii="Times New Roman" w:hAnsi="Times New Roman"/>
          <w:sz w:val="20"/>
        </w:rPr>
        <w:t xml:space="preserve">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the Company’s internal control over financial reporting during the quarter ended March 31, 2025 that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PART II.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rPr>
      </w:pPr>
      <w:r>
        <w:rPr>
          <w:spacing w:val="0"/>
        </w:rPr>
        <w:t> </w:t>
      </w:r>
    </w:p>
    <w:tbl>
      <w:tblPr>
        <w:tblW w:w="3130" w:type="dxa"/>
        <w:jc w:val="left"/>
        <w:tblInd w:w="0" w:type="dxa"/>
        <w:tblLayout w:type="fixed"/>
        <w:tblCellMar>
          <w:top w:w="0" w:type="dxa"/>
          <w:left w:w="0" w:type="dxa"/>
          <w:bottom w:w="0" w:type="dxa"/>
          <w:right w:w="0" w:type="dxa"/>
        </w:tblCellMar>
      </w:tblPr>
      <w:tblGrid>
        <w:gridCol w:w="905"/>
        <w:gridCol w:w="2225"/>
      </w:tblGrid>
      <w:tr>
        <w:trPr/>
        <w:tc>
          <w:tcPr>
            <w:tcW w:w="905" w:type="dxa"/>
            <w:tcBorders/>
            <w:vAlign w:val="center"/>
          </w:tcPr>
          <w:p>
            <w:pPr>
              <w:pStyle w:val="TableContents"/>
              <w:bidi w:val="0"/>
              <w:spacing w:before="0" w:after="0"/>
              <w:jc w:val="left"/>
              <w:rPr>
                <w:b/>
                <w:spacing w:val="0"/>
              </w:rPr>
            </w:pPr>
            <w:bookmarkStart w:id="7" w:name="toc941386_13"/>
            <w:bookmarkEnd w:id="7"/>
            <w:r>
              <w:rPr>
                <w:b/>
                <w:spacing w:val="0"/>
              </w:rPr>
              <w:t>ITEM 1.</w:t>
            </w:r>
          </w:p>
        </w:tc>
        <w:tc>
          <w:tcPr>
            <w:tcW w:w="22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LEGAL PROCEEDINGS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 </w:t>
      </w:r>
    </w:p>
    <w:p>
      <w:pPr>
        <w:pStyle w:val="TextBody"/>
        <w:bidi w:val="0"/>
        <w:spacing w:before="0" w:after="0"/>
        <w:ind w:left="0" w:right="0" w:hanging="0"/>
        <w:jc w:val="left"/>
        <w:rPr>
          <w:spacing w:val="0"/>
        </w:rPr>
      </w:pPr>
      <w:r>
        <w:rPr>
          <w:spacing w:val="0"/>
        </w:rPr>
        <w:t> </w:t>
      </w:r>
    </w:p>
    <w:tbl>
      <w:tblPr>
        <w:tblW w:w="2590" w:type="dxa"/>
        <w:jc w:val="left"/>
        <w:tblInd w:w="0" w:type="dxa"/>
        <w:tblLayout w:type="fixed"/>
        <w:tblCellMar>
          <w:top w:w="0" w:type="dxa"/>
          <w:left w:w="0" w:type="dxa"/>
          <w:bottom w:w="0" w:type="dxa"/>
          <w:right w:w="0" w:type="dxa"/>
        </w:tblCellMar>
      </w:tblPr>
      <w:tblGrid>
        <w:gridCol w:w="1085"/>
        <w:gridCol w:w="1505"/>
      </w:tblGrid>
      <w:tr>
        <w:trPr/>
        <w:tc>
          <w:tcPr>
            <w:tcW w:w="1085" w:type="dxa"/>
            <w:tcBorders/>
            <w:vAlign w:val="center"/>
          </w:tcPr>
          <w:p>
            <w:pPr>
              <w:pStyle w:val="TableContents"/>
              <w:bidi w:val="0"/>
              <w:spacing w:before="0" w:after="0"/>
              <w:jc w:val="left"/>
              <w:rPr>
                <w:b/>
                <w:spacing w:val="0"/>
              </w:rPr>
            </w:pPr>
            <w:bookmarkStart w:id="8" w:name="toc941386_14"/>
            <w:bookmarkEnd w:id="8"/>
            <w:r>
              <w:rPr>
                <w:b/>
                <w:spacing w:val="0"/>
              </w:rPr>
              <w:t>ITEM 1A.</w:t>
            </w:r>
          </w:p>
        </w:tc>
        <w:tc>
          <w:tcPr>
            <w:tcW w:w="15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RISK FACTORS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There have been no material changes from the risk factors as previously disclosed in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filed with the SEC on March 14, 2025. </w:t>
      </w:r>
    </w:p>
    <w:p>
      <w:pPr>
        <w:pStyle w:val="TextBody"/>
        <w:bidi w:val="0"/>
        <w:spacing w:before="0" w:after="0"/>
        <w:ind w:left="0" w:right="0" w:hanging="0"/>
        <w:jc w:val="left"/>
        <w:rPr>
          <w:spacing w:val="0"/>
        </w:rPr>
      </w:pPr>
      <w:r>
        <w:rPr>
          <w:spacing w:val="0"/>
        </w:rPr>
        <w:t> </w:t>
      </w:r>
    </w:p>
    <w:tbl>
      <w:tblPr>
        <w:tblW w:w="7810" w:type="dxa"/>
        <w:jc w:val="left"/>
        <w:tblInd w:w="0" w:type="dxa"/>
        <w:tblLayout w:type="fixed"/>
        <w:tblCellMar>
          <w:top w:w="0" w:type="dxa"/>
          <w:left w:w="0" w:type="dxa"/>
          <w:bottom w:w="0" w:type="dxa"/>
          <w:right w:w="0" w:type="dxa"/>
        </w:tblCellMar>
      </w:tblPr>
      <w:tblGrid>
        <w:gridCol w:w="905"/>
        <w:gridCol w:w="6905"/>
      </w:tblGrid>
      <w:tr>
        <w:trPr/>
        <w:tc>
          <w:tcPr>
            <w:tcW w:w="905" w:type="dxa"/>
            <w:tcBorders/>
            <w:vAlign w:val="center"/>
          </w:tcPr>
          <w:p>
            <w:pPr>
              <w:pStyle w:val="TableContents"/>
              <w:bidi w:val="0"/>
              <w:spacing w:before="0" w:after="0"/>
              <w:jc w:val="left"/>
              <w:rPr>
                <w:b/>
                <w:spacing w:val="0"/>
              </w:rPr>
            </w:pPr>
            <w:bookmarkStart w:id="9" w:name="toc941386_15"/>
            <w:bookmarkEnd w:id="9"/>
            <w:r>
              <w:rPr>
                <w:b/>
                <w:spacing w:val="0"/>
              </w:rPr>
              <w:t>ITEM 2.</w:t>
            </w:r>
          </w:p>
        </w:tc>
        <w:tc>
          <w:tcPr>
            <w:tcW w:w="69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UNREGISTERED SALES OF EQUITY SECURITIES AND USE OF PROCEEDS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summary of our Common Stock repurchased during the quarter ended March 31, 2025 is set forth in the following table: </w:t>
      </w:r>
    </w:p>
    <w:p>
      <w:pPr>
        <w:pStyle w:val="TextBody"/>
        <w:bidi w:val="0"/>
        <w:spacing w:before="0" w:after="0"/>
        <w:ind w:left="0" w:right="0" w:hanging="0"/>
        <w:jc w:val="left"/>
        <w:rPr>
          <w:spacing w:val="0"/>
        </w:rPr>
      </w:pPr>
      <w:r>
        <w:rPr>
          <w:spacing w:val="0"/>
        </w:rPr>
        <w:t> </w:t>
      </w:r>
    </w:p>
    <w:tbl>
      <w:tblPr>
        <w:tblW w:w="9609" w:type="dxa"/>
        <w:jc w:val="left"/>
        <w:tblInd w:w="0" w:type="dxa"/>
        <w:tblLayout w:type="fixed"/>
        <w:tblCellMar>
          <w:top w:w="0" w:type="dxa"/>
          <w:left w:w="0" w:type="dxa"/>
          <w:bottom w:w="0" w:type="dxa"/>
          <w:right w:w="0" w:type="dxa"/>
        </w:tblCellMar>
      </w:tblPr>
      <w:tblGrid>
        <w:gridCol w:w="3185"/>
        <w:gridCol w:w="120"/>
        <w:gridCol w:w="268"/>
        <w:gridCol w:w="1161"/>
        <w:gridCol w:w="60"/>
        <w:gridCol w:w="120"/>
        <w:gridCol w:w="332"/>
        <w:gridCol w:w="618"/>
        <w:gridCol w:w="60"/>
        <w:gridCol w:w="120"/>
        <w:gridCol w:w="301"/>
        <w:gridCol w:w="1309"/>
        <w:gridCol w:w="60"/>
        <w:gridCol w:w="120"/>
        <w:gridCol w:w="118"/>
        <w:gridCol w:w="1582"/>
        <w:gridCol w:w="75"/>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Period</w:t>
            </w:r>
          </w:p>
        </w:tc>
        <w:tc>
          <w:tcPr>
            <w:tcW w:w="12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Shares</w:t>
            </w:r>
          </w:p>
          <w:p>
            <w:pPr>
              <w:pStyle w:val="TableContents"/>
              <w:bidi w:val="0"/>
              <w:spacing w:before="0" w:after="0"/>
              <w:jc w:val="center"/>
              <w:rPr/>
            </w:pPr>
            <w:r>
              <w:rPr/>
            </w:r>
          </w:p>
          <w:p>
            <w:pPr>
              <w:pStyle w:val="TableContents"/>
              <w:bidi w:val="0"/>
              <w:spacing w:before="0" w:after="0"/>
              <w:jc w:val="center"/>
              <w:rPr>
                <w:b/>
                <w:spacing w:val="0"/>
              </w:rPr>
            </w:pPr>
            <w:r>
              <w:rPr>
                <w:b/>
                <w:spacing w:val="0"/>
              </w:rPr>
              <w:t>Purchased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Price per</w:t>
            </w:r>
          </w:p>
          <w:p>
            <w:pPr>
              <w:pStyle w:val="TableContents"/>
              <w:bidi w:val="0"/>
              <w:spacing w:before="0" w:after="0"/>
              <w:jc w:val="center"/>
              <w:rPr/>
            </w:pPr>
            <w:r>
              <w:rPr/>
            </w:r>
          </w:p>
          <w:p>
            <w:pPr>
              <w:pStyle w:val="TableContents"/>
              <w:bidi w:val="0"/>
              <w:spacing w:before="0" w:after="0"/>
              <w:jc w:val="center"/>
              <w:rPr>
                <w:b/>
                <w:spacing w:val="0"/>
              </w:rPr>
            </w:pPr>
            <w:r>
              <w:rPr>
                <w:b/>
                <w:spacing w:val="0"/>
              </w:rPr>
              <w:t>Share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Total Number</w:t>
            </w:r>
          </w:p>
          <w:p>
            <w:pPr>
              <w:pStyle w:val="TableContents"/>
              <w:bidi w:val="0"/>
              <w:spacing w:before="0" w:after="0"/>
              <w:jc w:val="center"/>
              <w:rPr/>
            </w:pPr>
            <w:r>
              <w:rPr/>
            </w:r>
          </w:p>
          <w:p>
            <w:pPr>
              <w:pStyle w:val="TableContents"/>
              <w:bidi w:val="0"/>
              <w:spacing w:before="0" w:after="0"/>
              <w:jc w:val="center"/>
              <w:rPr>
                <w:b/>
                <w:spacing w:val="0"/>
              </w:rPr>
            </w:pPr>
            <w:r>
              <w:rPr>
                <w:b/>
                <w:spacing w:val="0"/>
              </w:rPr>
              <w:t>of Shares</w:t>
            </w:r>
          </w:p>
          <w:p>
            <w:pPr>
              <w:pStyle w:val="TableContents"/>
              <w:bidi w:val="0"/>
              <w:spacing w:before="0" w:after="0"/>
              <w:jc w:val="center"/>
              <w:rPr/>
            </w:pPr>
            <w:r>
              <w:rPr/>
            </w:r>
          </w:p>
          <w:p>
            <w:pPr>
              <w:pStyle w:val="TableContents"/>
              <w:bidi w:val="0"/>
              <w:spacing w:before="0" w:after="0"/>
              <w:jc w:val="center"/>
              <w:rPr>
                <w:b/>
                <w:spacing w:val="0"/>
              </w:rPr>
            </w:pPr>
            <w:r>
              <w:rPr>
                <w:b/>
                <w:spacing w:val="0"/>
              </w:rPr>
              <w:t>Purchased as</w:t>
            </w:r>
          </w:p>
          <w:p>
            <w:pPr>
              <w:pStyle w:val="TableContents"/>
              <w:bidi w:val="0"/>
              <w:spacing w:before="0" w:after="0"/>
              <w:jc w:val="center"/>
              <w:rPr/>
            </w:pPr>
            <w:r>
              <w:rPr/>
            </w:r>
          </w:p>
          <w:p>
            <w:pPr>
              <w:pStyle w:val="TableContents"/>
              <w:bidi w:val="0"/>
              <w:spacing w:before="0" w:after="0"/>
              <w:jc w:val="center"/>
              <w:rPr>
                <w:b/>
                <w:spacing w:val="0"/>
              </w:rPr>
            </w:pPr>
            <w:r>
              <w:rPr>
                <w:b/>
                <w:spacing w:val="0"/>
              </w:rPr>
              <w:t>Part of Publicly</w:t>
            </w:r>
          </w:p>
          <w:p>
            <w:pPr>
              <w:pStyle w:val="TableContents"/>
              <w:bidi w:val="0"/>
              <w:spacing w:before="0" w:after="0"/>
              <w:jc w:val="center"/>
              <w:rPr/>
            </w:pPr>
            <w:r>
              <w:rPr/>
            </w:r>
          </w:p>
          <w:p>
            <w:pPr>
              <w:pStyle w:val="TableContents"/>
              <w:bidi w:val="0"/>
              <w:spacing w:before="0" w:after="0"/>
              <w:jc w:val="center"/>
              <w:rPr>
                <w:b/>
                <w:spacing w:val="0"/>
              </w:rPr>
            </w:pPr>
            <w:r>
              <w:rPr>
                <w:b/>
                <w:spacing w:val="0"/>
              </w:rPr>
              <w:t>Announced</w:t>
            </w:r>
          </w:p>
          <w:p>
            <w:pPr>
              <w:pStyle w:val="TableContents"/>
              <w:bidi w:val="0"/>
              <w:spacing w:before="0" w:after="0"/>
              <w:jc w:val="center"/>
              <w:rPr/>
            </w:pPr>
            <w:r>
              <w:rPr/>
            </w:r>
          </w:p>
          <w:p>
            <w:pPr>
              <w:pStyle w:val="TableContents"/>
              <w:bidi w:val="0"/>
              <w:spacing w:before="0" w:after="0"/>
              <w:jc w:val="center"/>
              <w:rPr>
                <w:b/>
                <w:spacing w:val="0"/>
              </w:rPr>
            </w:pPr>
            <w:r>
              <w:rPr>
                <w:b/>
                <w:spacing w:val="0"/>
              </w:rPr>
              <w:t>Plans or</w:t>
            </w:r>
          </w:p>
          <w:p>
            <w:pPr>
              <w:pStyle w:val="TableContents"/>
              <w:bidi w:val="0"/>
              <w:spacing w:before="0" w:after="0"/>
              <w:jc w:val="center"/>
              <w:rPr/>
            </w:pPr>
            <w:r>
              <w:rPr/>
            </w:r>
          </w:p>
          <w:p>
            <w:pPr>
              <w:pStyle w:val="TableContents"/>
              <w:bidi w:val="0"/>
              <w:spacing w:before="0" w:after="0"/>
              <w:jc w:val="center"/>
              <w:rPr>
                <w:b/>
                <w:spacing w:val="0"/>
              </w:rPr>
            </w:pPr>
            <w:r>
              <w:rPr>
                <w:b/>
                <w:spacing w:val="0"/>
              </w:rPr>
              <w:t>Programs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Maximum</w:t>
            </w:r>
          </w:p>
          <w:p>
            <w:pPr>
              <w:pStyle w:val="TableContents"/>
              <w:bidi w:val="0"/>
              <w:spacing w:before="0" w:after="0"/>
              <w:jc w:val="center"/>
              <w:rPr/>
            </w:pPr>
            <w:r>
              <w:rPr/>
            </w:r>
          </w:p>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Shares that May</w:t>
            </w:r>
          </w:p>
          <w:p>
            <w:pPr>
              <w:pStyle w:val="TableContents"/>
              <w:bidi w:val="0"/>
              <w:spacing w:before="0" w:after="0"/>
              <w:jc w:val="center"/>
              <w:rPr/>
            </w:pPr>
            <w:r>
              <w:rPr/>
            </w:r>
          </w:p>
          <w:p>
            <w:pPr>
              <w:pStyle w:val="TableContents"/>
              <w:bidi w:val="0"/>
              <w:spacing w:before="0" w:after="0"/>
              <w:jc w:val="center"/>
              <w:rPr>
                <w:b/>
                <w:spacing w:val="0"/>
              </w:rPr>
            </w:pPr>
            <w:r>
              <w:rPr>
                <w:b/>
                <w:spacing w:val="0"/>
              </w:rPr>
              <w:t>Yet Be</w:t>
            </w:r>
          </w:p>
          <w:p>
            <w:pPr>
              <w:pStyle w:val="TableContents"/>
              <w:bidi w:val="0"/>
              <w:spacing w:before="0" w:after="0"/>
              <w:jc w:val="center"/>
              <w:rPr/>
            </w:pPr>
            <w:r>
              <w:rPr/>
            </w:r>
          </w:p>
          <w:p>
            <w:pPr>
              <w:pStyle w:val="TableContents"/>
              <w:bidi w:val="0"/>
              <w:spacing w:before="0" w:after="0"/>
              <w:jc w:val="center"/>
              <w:rPr>
                <w:b/>
                <w:spacing w:val="0"/>
              </w:rPr>
            </w:pPr>
            <w:r>
              <w:rPr>
                <w:b/>
                <w:spacing w:val="0"/>
              </w:rPr>
              <w:t>Purchased</w:t>
            </w:r>
          </w:p>
          <w:p>
            <w:pPr>
              <w:pStyle w:val="TableContents"/>
              <w:bidi w:val="0"/>
              <w:spacing w:before="0" w:after="0"/>
              <w:jc w:val="center"/>
              <w:rPr/>
            </w:pPr>
            <w:r>
              <w:rPr/>
            </w:r>
          </w:p>
          <w:p>
            <w:pPr>
              <w:pStyle w:val="TableContents"/>
              <w:bidi w:val="0"/>
              <w:spacing w:before="0" w:after="0"/>
              <w:jc w:val="center"/>
              <w:rPr>
                <w:b/>
                <w:spacing w:val="0"/>
              </w:rPr>
            </w:pPr>
            <w:r>
              <w:rPr>
                <w:b/>
                <w:spacing w:val="0"/>
              </w:rPr>
              <w:t>Under this Plan</w:t>
            </w:r>
          </w:p>
          <w:p>
            <w:pPr>
              <w:pStyle w:val="TableContents"/>
              <w:bidi w:val="0"/>
              <w:spacing w:before="0" w:after="0"/>
              <w:jc w:val="center"/>
              <w:rPr/>
            </w:pPr>
            <w:r>
              <w:rPr/>
            </w:r>
          </w:p>
          <w:p>
            <w:pPr>
              <w:pStyle w:val="TableContents"/>
              <w:bidi w:val="0"/>
              <w:spacing w:before="0" w:after="0"/>
              <w:jc w:val="center"/>
              <w:rPr>
                <w:b/>
                <w:spacing w:val="0"/>
              </w:rPr>
            </w:pPr>
            <w:r>
              <w:rPr>
                <w:b/>
                <w:spacing w:val="0"/>
              </w:rPr>
              <w:t>or Programs (1)</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January 1, 2025 — January 31, 2025</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423,079</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February 1, 2025 — February 28, 2025</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423,079</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March 1, 2025 — March 31, 2025</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423,079</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w:t>
            </w:r>
          </w:p>
        </w:tc>
        <w:tc>
          <w:tcPr>
            <w:tcW w:w="6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423,079</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February 8, 2023, the Company announced that the Board of Directors authorized a share repurchase program of up to 500,000 shares of Common Stock over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two-year</w:t>
            </w:r>
          </w:p>
          <w:p>
            <w:pPr>
              <w:pStyle w:val="TableContents"/>
              <w:bidi w:val="0"/>
              <w:spacing w:before="0" w:after="0"/>
              <w:jc w:val="left"/>
              <w:rPr>
                <w:rFonts w:ascii="Times New Roman" w:hAnsi="Times New Roman"/>
                <w:sz w:val="20"/>
              </w:rPr>
            </w:pPr>
            <w:r>
              <w:rPr>
                <w:rFonts w:ascii="Times New Roman" w:hAnsi="Times New Roman"/>
                <w:sz w:val="20"/>
              </w:rPr>
              <w:t xml:space="preserve">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On February 19, 2025, the Company announced that the Board of Directors had authorized an extension of its previously announced share repurchase program for an additional year through February 8, 2026. The Company did not repurchase any shares of its Common Stock during the quarter ended March 31, 2025. </w:t>
            </w:r>
          </w:p>
        </w:tc>
      </w:tr>
    </w:tbl>
    <w:p>
      <w:pPr>
        <w:pStyle w:val="TextBody"/>
        <w:bidi w:val="0"/>
        <w:spacing w:before="0" w:after="0"/>
        <w:ind w:left="0" w:right="0" w:hanging="0"/>
        <w:jc w:val="left"/>
        <w:rPr>
          <w:spacing w:val="0"/>
        </w:rPr>
      </w:pPr>
      <w:r>
        <w:rPr>
          <w:spacing w:val="0"/>
        </w:rPr>
        <w:t> </w:t>
      </w:r>
    </w:p>
    <w:tbl>
      <w:tblPr>
        <w:tblW w:w="3160" w:type="dxa"/>
        <w:jc w:val="left"/>
        <w:tblInd w:w="0" w:type="dxa"/>
        <w:tblLayout w:type="fixed"/>
        <w:tblCellMar>
          <w:top w:w="0" w:type="dxa"/>
          <w:left w:w="0" w:type="dxa"/>
          <w:bottom w:w="0" w:type="dxa"/>
          <w:right w:w="0" w:type="dxa"/>
        </w:tblCellMar>
      </w:tblPr>
      <w:tblGrid>
        <w:gridCol w:w="905"/>
        <w:gridCol w:w="2255"/>
      </w:tblGrid>
      <w:tr>
        <w:trPr/>
        <w:tc>
          <w:tcPr>
            <w:tcW w:w="905" w:type="dxa"/>
            <w:tcBorders/>
            <w:vAlign w:val="center"/>
          </w:tcPr>
          <w:p>
            <w:pPr>
              <w:pStyle w:val="TableContents"/>
              <w:bidi w:val="0"/>
              <w:spacing w:before="0" w:after="0"/>
              <w:jc w:val="left"/>
              <w:rPr>
                <w:b/>
                <w:spacing w:val="0"/>
              </w:rPr>
            </w:pPr>
            <w:bookmarkStart w:id="10" w:name="toc941386_16"/>
            <w:bookmarkEnd w:id="10"/>
            <w:r>
              <w:rPr>
                <w:b/>
                <w:spacing w:val="0"/>
              </w:rPr>
              <w:t>ITEM 5.</w:t>
            </w:r>
          </w:p>
        </w:tc>
        <w:tc>
          <w:tcPr>
            <w:tcW w:w="22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OTHER INFORMATION </w:t>
            </w:r>
          </w:p>
        </w:tc>
      </w:tr>
    </w:tbl>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Disclosure of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10b5-1</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plans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quarter ended March 31, 2025, none of our directors or officers informed us of the adoption, modification or termination of a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or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as those terms are defined in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Item 408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930" w:type="dxa"/>
        <w:jc w:val="left"/>
        <w:tblInd w:w="0" w:type="dxa"/>
        <w:tblLayout w:type="fixed"/>
        <w:tblCellMar>
          <w:top w:w="0" w:type="dxa"/>
          <w:left w:w="0" w:type="dxa"/>
          <w:bottom w:w="0" w:type="dxa"/>
          <w:right w:w="0" w:type="dxa"/>
        </w:tblCellMar>
      </w:tblPr>
      <w:tblGrid>
        <w:gridCol w:w="905"/>
        <w:gridCol w:w="1025"/>
      </w:tblGrid>
      <w:tr>
        <w:trPr/>
        <w:tc>
          <w:tcPr>
            <w:tcW w:w="905" w:type="dxa"/>
            <w:tcBorders/>
            <w:vAlign w:val="center"/>
          </w:tcPr>
          <w:p>
            <w:pPr>
              <w:pStyle w:val="TableContents"/>
              <w:bidi w:val="0"/>
              <w:spacing w:before="0" w:after="283"/>
              <w:jc w:val="left"/>
              <w:rPr>
                <w:b/>
              </w:rPr>
            </w:pPr>
            <w:bookmarkStart w:id="11" w:name="toc941386_17"/>
            <w:bookmarkEnd w:id="11"/>
            <w:r>
              <w:rPr>
                <w:b/>
              </w:rPr>
              <w:t>ITEM 6.</w:t>
            </w:r>
          </w:p>
        </w:tc>
        <w:tc>
          <w:tcPr>
            <w:tcW w:w="1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3"/>
        <w:gridCol w:w="120"/>
        <w:gridCol w:w="9412"/>
      </w:tblGrid>
      <w:tr>
        <w:trPr/>
        <w:tc>
          <w:tcPr>
            <w:tcW w:w="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12" w:type="dxa"/>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
              <w:r>
                <w:rPr>
                  <w:rStyle w:val="InternetLink"/>
                </w:rPr>
                <w:t xml:space="preserve">Executive Employment Agreement, made as of November 1, 2024, by and among Mastech Digital, Inc., Mastech Digital Technologies, Inc. and Nirav Patel (incorporated by reference to Exhibit 10.1 to Mastech Digital, Inc.’s Current Report on Form 8-K, filed with the Securities and Exchange Commission on December 16, 2024) </w:t>
              </w:r>
            </w:hyperlink>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
              <w:r>
                <w:rPr>
                  <w:rStyle w:val="InternetLink"/>
                </w:rPr>
                <w:t xml:space="preserve">Executive Employment Agreement, made as of March 31, 2025, by and between Mastech Digital, Inc. and Kannan Sugantharaman (incorporated by reference to Exhibit 10.1 to Mastech Digital, Inc.’s Current Report on Form 8-K, filed with the Securities and Exchange Commission on April 4, 2025) </w:t>
              </w:r>
            </w:hyperlink>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4">
              <w:r>
                <w:rPr>
                  <w:rStyle w:val="InternetLink"/>
                </w:rPr>
                <w:t xml:space="preserve">Executive Employment Agreement, made as of March 31, 2025, by and between Mastech Digital Private Limited and Kannan Sugantharaman (incorporated by reference to Exhibit 10.2 to Mastech Digital, Inc.’s Current Report on Form 8-K, filed with the Securities and Exchange Commission on April 4, 2025) </w:t>
              </w:r>
            </w:hyperlink>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w:anchor="d941386dex311.htm">
              <w:r>
                <w:rPr>
                  <w:rStyle w:val="InternetLink"/>
                </w:rPr>
                <w:t xml:space="preserve">Certification pursuant to Section 302 of the Sarbanes-Oxley Act of 2002 by the Chief Executive Officer is filed herewith. </w:t>
              </w:r>
            </w:hyperlink>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w:anchor="d941386dex312.htm">
              <w:r>
                <w:rPr>
                  <w:rStyle w:val="InternetLink"/>
                </w:rPr>
                <w:t xml:space="preserve">Certification pursuant to Section 302 of the Sarbanes-Oxley Act of 2002 by the Chief Financial Officer is filed herewith. </w:t>
              </w:r>
            </w:hyperlink>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w:anchor="d941386dex321.htm">
              <w:r>
                <w:rPr>
                  <w:rStyle w:val="InternetLink"/>
                </w:rPr>
                <w:t xml:space="preserve">Certification pursuant to 18 U.S.C. Section 1350, as adopted pursuant to Section 906 of the Sarbanes-Oxley Act of 2002, by the Chief Executive Officer is furnished herewith. </w:t>
              </w:r>
            </w:hyperlink>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w:anchor="d941386dex322.htm">
              <w:r>
                <w:rPr>
                  <w:rStyle w:val="InternetLink"/>
                </w:rPr>
                <w:t xml:space="preserve">Certification pursuant to 18 U.S.C. Section 1350, as adopted pursuant to Section 906 of the Sarbanes-Oxley Act of 2002, by the Chief Financial Officer is furnished herewith. </w:t>
              </w:r>
            </w:hyperlink>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XBRL Instance Document - the instance document does not appear in the Interactive Data File because its XBRL tags are embedded within the Inline XBRL document.</w:t>
            </w:r>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Inline XBRL Taxonomy Extension Schema Document.</w:t>
            </w:r>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Inline XBRL Taxonomy Extension Calculation Linkbase Document.</w:t>
            </w:r>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Inline XBRL Taxonomy Extension Definition Linkbase Document.</w:t>
            </w:r>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Inline XBRL Taxonomy Extension Label Linkbase Document.</w:t>
            </w:r>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Inline XBRL Taxonomy Extension Presentation Linkbase Document.</w:t>
            </w:r>
          </w:p>
        </w:tc>
      </w:tr>
      <w:tr>
        <w:trPr/>
        <w:tc>
          <w:tcPr>
            <w:tcW w:w="673" w:type="dxa"/>
            <w:tcBorders/>
            <w:vAlign w:val="center"/>
          </w:tcPr>
          <w:p>
            <w:pPr>
              <w:pStyle w:val="TableContents"/>
              <w:bidi w:val="0"/>
              <w:spacing w:before="0" w:after="283"/>
              <w:jc w:val="left"/>
              <w:rPr>
                <w:sz w:val="4"/>
                <w:szCs w:val="4"/>
              </w:rPr>
            </w:pPr>
            <w:r>
              <w:rPr>
                <w:sz w:val="4"/>
                <w:szCs w:val="4"/>
              </w:rPr>
            </w:r>
          </w:p>
        </w:tc>
        <w:tc>
          <w:tcPr>
            <w:tcW w:w="9532"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941386_18"/>
      <w:bookmarkEnd w:id="1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on this 15th day of May, 2025. </w:t>
      </w:r>
    </w:p>
    <w:p>
      <w:pPr>
        <w:pStyle w:val="TextBody"/>
        <w:bidi w:val="0"/>
        <w:spacing w:before="0" w:after="0"/>
        <w:jc w:val="left"/>
        <w:rPr/>
      </w:pPr>
      <w:r>
        <w:rPr/>
        <w:t> </w:t>
      </w:r>
    </w:p>
    <w:tbl>
      <w:tblPr>
        <w:tblW w:w="4548" w:type="dxa"/>
        <w:jc w:val="left"/>
        <w:tblInd w:w="0" w:type="dxa"/>
        <w:tblLayout w:type="fixed"/>
        <w:tblCellMar>
          <w:top w:w="0" w:type="dxa"/>
          <w:left w:w="0" w:type="dxa"/>
          <w:bottom w:w="0" w:type="dxa"/>
          <w:right w:w="0" w:type="dxa"/>
        </w:tblCellMar>
      </w:tblPr>
      <w:tblGrid>
        <w:gridCol w:w="1370"/>
        <w:gridCol w:w="60"/>
        <w:gridCol w:w="23"/>
        <w:gridCol w:w="60"/>
        <w:gridCol w:w="303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MASTECH DIGITAL, INC.</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95"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May 15,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/s/ NIRAV PATEL</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Nirav Patel</w:t>
            </w:r>
          </w:p>
          <w:p>
            <w:pPr>
              <w:pStyle w:val="TableContents"/>
              <w:bidi w:val="0"/>
              <w:spacing w:before="0" w:after="20"/>
              <w:jc w:val="center"/>
              <w:rPr>
                <w:rFonts w:ascii="Times New Roman" w:hAnsi="Times New Roman"/>
                <w:b/>
                <w:sz w:val="20"/>
              </w:rPr>
            </w:pPr>
            <w:r>
              <w:rPr>
                <w:rFonts w:ascii="Times New Roman" w:hAnsi="Times New Roman"/>
                <w:b/>
                <w:sz w:val="20"/>
              </w:rPr>
              <w:t>Chief Executive Officer</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95" w:type="dxa"/>
            <w:gridSpan w:val="2"/>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/s/ KANNAN SUGANTHARAMAN</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b/>
              </w:rPr>
            </w:pPr>
            <w:r>
              <w:rPr>
                <w:b/>
              </w:rPr>
              <w:t>Kannan Sugantharaman</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b/>
              </w:rPr>
            </w:pPr>
            <w:r>
              <w:rPr>
                <w:b/>
              </w:rPr>
              <w:t>Chief Financial Officer</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b/>
              </w:rPr>
            </w:pPr>
            <w:r>
              <w:rPr>
                <w:b/>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TextBody"/>
        <w:bidi w:val="0"/>
        <w:spacing w:before="0" w:after="0"/>
        <w:jc w:val="right"/>
        <w:rPr>
          <w:rFonts w:ascii="Times New Roman" w:hAnsi="Times New Roman"/>
          <w:b/>
          <w:sz w:val="20"/>
        </w:rPr>
      </w:pPr>
      <w:bookmarkStart w:id="13" w:name="d941386dex311.htm"/>
      <w:bookmarkStart w:id="14" w:name="ksd941386dex311"/>
      <w:bookmarkEnd w:id="13"/>
      <w:bookmarkEnd w:id="14"/>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Section 302 of the Sarbanes-Oxley Act of 2002 by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 Nirav Patel,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report on Form 10-Q of Mastech Digital,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98"/>
        <w:gridCol w:w="108"/>
        <w:gridCol w:w="366"/>
        <w:gridCol w:w="108"/>
        <w:gridCol w:w="262"/>
        <w:gridCol w:w="108"/>
        <w:gridCol w:w="4955"/>
      </w:tblGrid>
      <w:tr>
        <w:trPr/>
        <w:tc>
          <w:tcPr>
            <w:tcW w:w="429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429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MASTECH DIGITAL, INC.</w:t>
            </w:r>
          </w:p>
        </w:tc>
      </w:tr>
      <w:tr>
        <w:trPr>
          <w:trHeight w:val="240" w:hRule="atLeast"/>
        </w:trPr>
        <w:tc>
          <w:tcPr>
            <w:tcW w:w="4298"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370" w:type="dxa"/>
            <w:gridSpan w:val="2"/>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4298" w:type="dxa"/>
            <w:tcBorders/>
          </w:tcPr>
          <w:p>
            <w:pPr>
              <w:pStyle w:val="TableContents"/>
              <w:bidi w:val="0"/>
              <w:spacing w:before="0" w:after="283"/>
              <w:jc w:val="left"/>
              <w:rPr/>
            </w:pPr>
            <w:r>
              <w:rPr/>
              <w:t>Date: May 15, 2025</w:t>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NIRAV PATEL</w:t>
            </w:r>
          </w:p>
        </w:tc>
      </w:tr>
      <w:tr>
        <w:trPr/>
        <w:tc>
          <w:tcPr>
            <w:tcW w:w="429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b/>
              </w:rPr>
            </w:pPr>
            <w:r>
              <w:rPr>
                <w:b/>
              </w:rPr>
              <w:t>Nirav Patel</w:t>
            </w:r>
          </w:p>
        </w:tc>
      </w:tr>
      <w:tr>
        <w:trPr/>
        <w:tc>
          <w:tcPr>
            <w:tcW w:w="429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b/>
              </w:rPr>
            </w:pPr>
            <w:r>
              <w:rPr>
                <w:b/>
              </w:rPr>
              <w:t>Chief Executive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5" w:name="d941386dex312.htm"/>
      <w:bookmarkStart w:id="16" w:name="ksd941386dex312"/>
      <w:bookmarkEnd w:id="15"/>
      <w:bookmarkEnd w:id="16"/>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Section 302 of the Sarbanes-Oxley Act of 2002 by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I, Kannan Sugantharaman,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report on Form 10-Q of Mastech Digital,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98"/>
        <w:gridCol w:w="108"/>
        <w:gridCol w:w="366"/>
        <w:gridCol w:w="108"/>
        <w:gridCol w:w="262"/>
        <w:gridCol w:w="108"/>
        <w:gridCol w:w="4955"/>
      </w:tblGrid>
      <w:tr>
        <w:trPr/>
        <w:tc>
          <w:tcPr>
            <w:tcW w:w="429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429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pPr>
            <w:r>
              <w:rPr/>
              <w:t>MASTECH DIGITAL, INC.</w:t>
            </w:r>
          </w:p>
        </w:tc>
      </w:tr>
      <w:tr>
        <w:trPr>
          <w:trHeight w:val="240" w:hRule="atLeast"/>
        </w:trPr>
        <w:tc>
          <w:tcPr>
            <w:tcW w:w="4298"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370" w:type="dxa"/>
            <w:gridSpan w:val="2"/>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4298" w:type="dxa"/>
            <w:tcBorders/>
          </w:tcPr>
          <w:p>
            <w:pPr>
              <w:pStyle w:val="TableContents"/>
              <w:bidi w:val="0"/>
              <w:spacing w:before="0" w:after="283"/>
              <w:jc w:val="left"/>
              <w:rPr/>
            </w:pPr>
            <w:r>
              <w:rPr/>
              <w:t>Date: May 15, 2025</w:t>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KANNAN SUGANTHARAMAN</w:t>
            </w:r>
          </w:p>
        </w:tc>
      </w:tr>
      <w:tr>
        <w:trPr/>
        <w:tc>
          <w:tcPr>
            <w:tcW w:w="429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b/>
              </w:rPr>
            </w:pPr>
            <w:r>
              <w:rPr>
                <w:b/>
              </w:rPr>
              <w:t>Kannan Sugantharaman</w:t>
            </w:r>
          </w:p>
        </w:tc>
      </w:tr>
      <w:tr>
        <w:trPr/>
        <w:tc>
          <w:tcPr>
            <w:tcW w:w="429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55" w:type="dxa"/>
            <w:tcBorders/>
          </w:tcPr>
          <w:p>
            <w:pPr>
              <w:pStyle w:val="TableContents"/>
              <w:bidi w:val="0"/>
              <w:spacing w:before="0" w:after="283"/>
              <w:jc w:val="left"/>
              <w:rPr>
                <w:b/>
              </w:rPr>
            </w:pPr>
            <w:r>
              <w:rPr>
                <w:b/>
              </w:rPr>
              <w:t>Chief Financial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7" w:name="d941386dex321.htm"/>
      <w:bookmarkStart w:id="18" w:name="ksd941386dex321"/>
      <w:bookmarkEnd w:id="17"/>
      <w:bookmarkEnd w:id="18"/>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of Mastech Digital, Inc. (the Company) on Form 10-Q for the quarter ended March 31, 2025, as filed with the Securities and Exchange Commission on the date hereof (the Report), I, Nirav Patel, Chief Executive Officer of the Company, certify, pursuant to 18 U.S.C. § 1350, as adopted pursuant to § 906 of the Sarbanes-Oxley Act of 2002, that, to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NIRAV PATEL</w:t>
            </w:r>
          </w:p>
        </w:tc>
      </w:tr>
      <w:tr>
        <w:trPr/>
        <w:tc>
          <w:tcPr>
            <w:tcW w:w="4082" w:type="dxa"/>
            <w:tcBorders/>
          </w:tcPr>
          <w:p>
            <w:pPr>
              <w:pStyle w:val="TableContents"/>
              <w:bidi w:val="0"/>
              <w:spacing w:before="0" w:after="283"/>
              <w:jc w:val="left"/>
              <w:rPr/>
            </w:pPr>
            <w:r>
              <w:rPr/>
              <w:t>Nirav Patel</w:t>
            </w:r>
          </w:p>
        </w:tc>
      </w:tr>
      <w:tr>
        <w:trPr/>
        <w:tc>
          <w:tcPr>
            <w:tcW w:w="4082" w:type="dxa"/>
            <w:tcBorders/>
          </w:tcPr>
          <w:p>
            <w:pPr>
              <w:pStyle w:val="TableContents"/>
              <w:bidi w:val="0"/>
              <w:spacing w:before="0" w:after="283"/>
              <w:jc w:val="left"/>
              <w:rPr>
                <w:b/>
                <w:i/>
              </w:rPr>
            </w:pPr>
            <w:r>
              <w:rPr>
                <w:b/>
                <w:i/>
              </w:rPr>
              <w:t>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May 15, 2025</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9" w:name="d941386dex322.htm"/>
      <w:bookmarkStart w:id="20" w:name="ksd941386dex322"/>
      <w:bookmarkEnd w:id="19"/>
      <w:bookmarkEnd w:id="20"/>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of Mastech Digital, Inc. (the Company) on Form 10-Q for the quarter ended March 31, 2025, as filed with the Securities and Exchange Commission on the date hereof (the Report), I, Kannan Sugantharaman, Chief Financial Officer of the Company, certify, pursuant to 18 U.S.C. § 1350, as adopted pursuant to § 906 of the Sarbanes-Oxley Act of 2002, that, to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KANNAN SUGANTHARAMAN</w:t>
            </w:r>
          </w:p>
        </w:tc>
      </w:tr>
      <w:tr>
        <w:trPr/>
        <w:tc>
          <w:tcPr>
            <w:tcW w:w="4082" w:type="dxa"/>
            <w:tcBorders/>
          </w:tcPr>
          <w:p>
            <w:pPr>
              <w:pStyle w:val="TableContents"/>
              <w:bidi w:val="0"/>
              <w:spacing w:before="0" w:after="283"/>
              <w:jc w:val="left"/>
              <w:rPr/>
            </w:pPr>
            <w:r>
              <w:rPr/>
              <w:t>Kannan Sugantharaman</w:t>
            </w:r>
          </w:p>
        </w:tc>
      </w:tr>
      <w:tr>
        <w:trPr/>
        <w:tc>
          <w:tcPr>
            <w:tcW w:w="4082" w:type="dxa"/>
            <w:tcBorders/>
          </w:tcPr>
          <w:p>
            <w:pPr>
              <w:pStyle w:val="TableContents"/>
              <w:bidi w:val="0"/>
              <w:spacing w:before="0" w:after="283"/>
              <w:jc w:val="left"/>
              <w:rPr>
                <w:b/>
                <w:i/>
              </w:rPr>
            </w:pPr>
            <w:r>
              <w:rPr>
                <w:b/>
                <w:i/>
              </w:rPr>
              <w:t>Chief Financial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May 15, 2025</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7226/000119312524279042/d848286dex101.htm" TargetMode="External"/><Relationship Id="rId3" Type="http://schemas.openxmlformats.org/officeDocument/2006/relationships/hyperlink" Target="http://www.sec.gov/Archives/edgar/data/1437226/000119312525073415/d938577dex101.htm" TargetMode="External"/><Relationship Id="rId4" Type="http://schemas.openxmlformats.org/officeDocument/2006/relationships/hyperlink" Target="http://www.sec.gov/Archives/edgar/data/1437226/000119312525073415/d938577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13608</Words>
  <Characters>75155</Characters>
  <CharactersWithSpaces>91070</CharactersWithSpaces>
  <Paragraphs>4693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