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7"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(Mark One)</w:t>
      </w:r>
    </w:p>
    <w:p>
      <w:pPr>
        <w:spacing w:after="0" w:line="25" w:lineRule="exact"/>
        <w:rPr>
          <w:sz w:val="24"/>
          <w:szCs w:val="24"/>
          <w:color w:val="auto"/>
        </w:rPr>
      </w:pPr>
    </w:p>
    <w:p>
      <w:pPr>
        <w:ind w:left="540" w:right="46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69" w:lineRule="exact"/>
        <w:rPr>
          <w:sz w:val="24"/>
          <w:szCs w:val="24"/>
          <w:color w:val="auto"/>
        </w:rPr>
      </w:pPr>
    </w:p>
    <w:p>
      <w:pPr>
        <w:ind w:left="5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MASTECH DIGITAL,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9" w:lineRule="exact"/>
        <w:rPr>
          <w:sz w:val="24"/>
          <w:szCs w:val="24"/>
          <w:color w:val="auto"/>
        </w:rPr>
      </w:pPr>
    </w:p>
    <w:tbl>
      <w:tblPr>
        <w:tblLayout w:type="fixed"/>
        <w:tblInd w:w="1020" w:type="dxa"/>
        <w:tblCellMar>
          <w:top w:w="0" w:type="dxa"/>
          <w:left w:w="0" w:type="dxa"/>
          <w:bottom w:w="0" w:type="dxa"/>
          <w:right w:w="0" w:type="dxa"/>
        </w:tblCellMar>
      </w:tblPr>
      <w:tr>
        <w:trPr>
          <w:trHeight w:val="202"/>
        </w:trPr>
        <w:tc>
          <w:tcPr>
            <w:tcW w:w="5320" w:type="dxa"/>
            <w:vAlign w:val="bottom"/>
          </w:tcPr>
          <w:p>
            <w:pPr>
              <w:jc w:val="center"/>
              <w:ind w:right="1481"/>
              <w:spacing w:after="0"/>
              <w:rPr>
                <w:sz w:val="20"/>
                <w:szCs w:val="20"/>
                <w:color w:val="auto"/>
              </w:rPr>
            </w:pPr>
            <w:r>
              <w:rPr>
                <w:rFonts w:ascii="Arial" w:cs="Arial" w:eastAsia="Arial" w:hAnsi="Arial"/>
                <w:sz w:val="17"/>
                <w:szCs w:val="17"/>
                <w:b w:val="1"/>
                <w:bCs w:val="1"/>
                <w:color w:val="auto"/>
                <w:w w:val="99"/>
              </w:rPr>
              <w:t>PENNSYLVANIA</w:t>
            </w:r>
          </w:p>
        </w:tc>
        <w:tc>
          <w:tcPr>
            <w:tcW w:w="2680" w:type="dxa"/>
            <w:vAlign w:val="bottom"/>
          </w:tcPr>
          <w:p>
            <w:pPr>
              <w:jc w:val="right"/>
              <w:ind w:right="63"/>
              <w:spacing w:after="0"/>
              <w:rPr>
                <w:sz w:val="20"/>
                <w:szCs w:val="20"/>
                <w:color w:val="auto"/>
              </w:rPr>
            </w:pPr>
            <w:r>
              <w:rPr>
                <w:rFonts w:ascii="Arial" w:cs="Arial" w:eastAsia="Arial" w:hAnsi="Arial"/>
                <w:sz w:val="17"/>
                <w:szCs w:val="17"/>
                <w:b w:val="1"/>
                <w:bCs w:val="1"/>
                <w:color w:val="auto"/>
              </w:rPr>
              <w:t>26-2753540</w:t>
            </w:r>
          </w:p>
        </w:tc>
      </w:tr>
      <w:tr>
        <w:trPr>
          <w:trHeight w:val="149"/>
        </w:trPr>
        <w:tc>
          <w:tcPr>
            <w:tcW w:w="5320" w:type="dxa"/>
            <w:vAlign w:val="bottom"/>
          </w:tcPr>
          <w:p>
            <w:pPr>
              <w:jc w:val="center"/>
              <w:ind w:right="148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680" w:type="dxa"/>
            <w:vAlign w:val="bottom"/>
          </w:tcPr>
          <w:p>
            <w:pPr>
              <w:jc w:val="center"/>
              <w:ind w:left="148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320" w:type="dxa"/>
            <w:vAlign w:val="bottom"/>
          </w:tcPr>
          <w:p>
            <w:pPr>
              <w:jc w:val="center"/>
              <w:ind w:right="1481"/>
              <w:spacing w:after="0"/>
              <w:rPr>
                <w:sz w:val="20"/>
                <w:szCs w:val="20"/>
                <w:color w:val="auto"/>
              </w:rPr>
            </w:pPr>
            <w:r>
              <w:rPr>
                <w:rFonts w:ascii="Arial" w:cs="Arial" w:eastAsia="Arial" w:hAnsi="Arial"/>
                <w:sz w:val="14"/>
                <w:szCs w:val="14"/>
                <w:b w:val="1"/>
                <w:bCs w:val="1"/>
                <w:color w:val="auto"/>
                <w:w w:val="94"/>
              </w:rPr>
              <w:t>incorporation or organization)</w:t>
            </w:r>
          </w:p>
        </w:tc>
        <w:tc>
          <w:tcPr>
            <w:tcW w:w="2680" w:type="dxa"/>
            <w:vAlign w:val="bottom"/>
          </w:tcPr>
          <w:p>
            <w:pPr>
              <w:jc w:val="center"/>
              <w:ind w:left="1483"/>
              <w:spacing w:after="0"/>
              <w:rPr>
                <w:sz w:val="20"/>
                <w:szCs w:val="20"/>
                <w:color w:val="auto"/>
              </w:rPr>
            </w:pPr>
            <w:r>
              <w:rPr>
                <w:rFonts w:ascii="Arial" w:cs="Arial" w:eastAsia="Arial" w:hAnsi="Arial"/>
                <w:sz w:val="14"/>
                <w:szCs w:val="14"/>
                <w:b w:val="1"/>
                <w:bCs w:val="1"/>
                <w:color w:val="auto"/>
                <w:w w:val="94"/>
              </w:rPr>
              <w:t>Identification No.)</w:t>
            </w:r>
          </w:p>
        </w:tc>
      </w:tr>
      <w:tr>
        <w:trPr>
          <w:trHeight w:val="314"/>
        </w:trPr>
        <w:tc>
          <w:tcPr>
            <w:tcW w:w="5320" w:type="dxa"/>
            <w:vAlign w:val="bottom"/>
          </w:tcPr>
          <w:p>
            <w:pPr>
              <w:jc w:val="center"/>
              <w:ind w:right="1481"/>
              <w:spacing w:after="0"/>
              <w:rPr>
                <w:sz w:val="20"/>
                <w:szCs w:val="20"/>
                <w:color w:val="auto"/>
              </w:rPr>
            </w:pPr>
            <w:r>
              <w:rPr>
                <w:rFonts w:ascii="Arial" w:cs="Arial" w:eastAsia="Arial" w:hAnsi="Arial"/>
                <w:sz w:val="17"/>
                <w:szCs w:val="17"/>
                <w:b w:val="1"/>
                <w:bCs w:val="1"/>
                <w:color w:val="auto"/>
                <w:w w:val="92"/>
              </w:rPr>
              <w:t>1305 Cherrington Parkway, Building 210, Suite 400</w:t>
            </w:r>
          </w:p>
        </w:tc>
        <w:tc>
          <w:tcPr>
            <w:tcW w:w="2680" w:type="dxa"/>
            <w:vAlign w:val="bottom"/>
          </w:tcPr>
          <w:p>
            <w:pPr>
              <w:spacing w:after="0"/>
              <w:rPr>
                <w:sz w:val="24"/>
                <w:szCs w:val="24"/>
                <w:color w:val="auto"/>
              </w:rPr>
            </w:pPr>
          </w:p>
        </w:tc>
      </w:tr>
      <w:tr>
        <w:trPr>
          <w:trHeight w:val="215"/>
        </w:trPr>
        <w:tc>
          <w:tcPr>
            <w:tcW w:w="5320" w:type="dxa"/>
            <w:vAlign w:val="bottom"/>
          </w:tcPr>
          <w:p>
            <w:pPr>
              <w:jc w:val="center"/>
              <w:ind w:right="1481"/>
              <w:spacing w:after="0"/>
              <w:rPr>
                <w:sz w:val="20"/>
                <w:szCs w:val="20"/>
                <w:color w:val="auto"/>
              </w:rPr>
            </w:pPr>
            <w:r>
              <w:rPr>
                <w:rFonts w:ascii="Arial" w:cs="Arial" w:eastAsia="Arial" w:hAnsi="Arial"/>
                <w:sz w:val="17"/>
                <w:szCs w:val="17"/>
                <w:b w:val="1"/>
                <w:bCs w:val="1"/>
                <w:color w:val="auto"/>
                <w:w w:val="91"/>
              </w:rPr>
              <w:t>Moon Township, PA</w:t>
            </w:r>
          </w:p>
        </w:tc>
        <w:tc>
          <w:tcPr>
            <w:tcW w:w="2680" w:type="dxa"/>
            <w:vAlign w:val="bottom"/>
          </w:tcPr>
          <w:p>
            <w:pPr>
              <w:jc w:val="right"/>
              <w:ind w:right="263"/>
              <w:spacing w:after="0"/>
              <w:rPr>
                <w:sz w:val="20"/>
                <w:szCs w:val="20"/>
                <w:color w:val="auto"/>
              </w:rPr>
            </w:pPr>
            <w:r>
              <w:rPr>
                <w:rFonts w:ascii="Arial" w:cs="Arial" w:eastAsia="Arial" w:hAnsi="Arial"/>
                <w:sz w:val="17"/>
                <w:szCs w:val="17"/>
                <w:b w:val="1"/>
                <w:bCs w:val="1"/>
                <w:color w:val="auto"/>
              </w:rPr>
              <w:t>15108</w:t>
            </w:r>
          </w:p>
        </w:tc>
      </w:tr>
      <w:tr>
        <w:trPr>
          <w:trHeight w:val="186"/>
        </w:trPr>
        <w:tc>
          <w:tcPr>
            <w:tcW w:w="5320" w:type="dxa"/>
            <w:vAlign w:val="bottom"/>
          </w:tcPr>
          <w:p>
            <w:pPr>
              <w:jc w:val="center"/>
              <w:ind w:right="15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80" w:type="dxa"/>
            <w:vAlign w:val="bottom"/>
          </w:tcPr>
          <w:p>
            <w:pPr>
              <w:jc w:val="center"/>
              <w:ind w:left="1483"/>
              <w:spacing w:after="0"/>
              <w:rPr>
                <w:sz w:val="20"/>
                <w:szCs w:val="20"/>
                <w:color w:val="auto"/>
              </w:rPr>
            </w:pPr>
            <w:r>
              <w:rPr>
                <w:rFonts w:ascii="Arial" w:cs="Arial" w:eastAsia="Arial" w:hAnsi="Arial"/>
                <w:sz w:val="14"/>
                <w:szCs w:val="14"/>
                <w:b w:val="1"/>
                <w:bCs w:val="1"/>
                <w:color w:val="auto"/>
                <w:w w:val="98"/>
              </w:rPr>
              <w:t>(Zip Code)</w:t>
            </w:r>
          </w:p>
        </w:tc>
      </w:tr>
    </w:tbl>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Registrant’s telephone number, including area code: (412) 787-2100</w:t>
      </w:r>
    </w:p>
    <w:p>
      <w:pPr>
        <w:spacing w:after="0" w:line="61"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38" w:orient="portrait"/>
          <w:cols w:equalWidth="0" w:num="1">
            <w:col w:w="11100"/>
          </w:cols>
          <w:pgMar w:left="320" w:top="230" w:right="479" w:bottom="1440" w:gutter="0" w:footer="0" w:header="0"/>
        </w:sectPr>
      </w:pPr>
    </w:p>
    <w:p>
      <w:pPr>
        <w:spacing w:after="0" w:line="75" w:lineRule="exact"/>
        <w:rPr>
          <w:sz w:val="24"/>
          <w:szCs w:val="24"/>
          <w:color w:val="auto"/>
        </w:rPr>
      </w:pPr>
    </w:p>
    <w:p>
      <w:pPr>
        <w:ind w:left="14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exchange on which registered</w:t>
      </w:r>
    </w:p>
    <w:p>
      <w:pPr>
        <w:spacing w:after="0" w:line="48" w:lineRule="exact"/>
        <w:rPr>
          <w:sz w:val="24"/>
          <w:szCs w:val="24"/>
          <w:color w:val="auto"/>
        </w:rPr>
      </w:pPr>
    </w:p>
    <w:p>
      <w:pPr>
        <w:sectPr>
          <w:pgSz w:w="11900" w:h="16838" w:orient="portrait"/>
          <w:cols w:equalWidth="0" w:num="3">
            <w:col w:w="4700" w:space="720"/>
            <w:col w:w="1980" w:space="720"/>
            <w:col w:w="2980"/>
          </w:cols>
          <w:pgMar w:left="320" w:top="230" w:right="479" w:bottom="1440" w:gutter="0" w:footer="0" w:header="0"/>
          <w:type w:val="continuous"/>
        </w:sectPr>
      </w:pPr>
    </w:p>
    <w:p>
      <w:pPr>
        <w:ind w:left="1060"/>
        <w:spacing w:after="0"/>
        <w:rPr>
          <w:sz w:val="20"/>
          <w:szCs w:val="20"/>
          <w:color w:val="auto"/>
        </w:rPr>
      </w:pPr>
      <w:r>
        <w:rPr>
          <w:rFonts w:ascii="Arial" w:cs="Arial" w:eastAsia="Arial" w:hAnsi="Arial"/>
          <w:sz w:val="14"/>
          <w:szCs w:val="14"/>
          <w:color w:val="auto"/>
        </w:rPr>
        <w:t>Common Stock, $.01 par value</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6"/>
          <w:szCs w:val="16"/>
          <w:color w:val="auto"/>
        </w:rPr>
        <w:t>MHH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NYSE American</w:t>
      </w:r>
    </w:p>
    <w:p>
      <w:pPr>
        <w:spacing w:after="0" w:line="66" w:lineRule="exact"/>
        <w:rPr>
          <w:sz w:val="24"/>
          <w:szCs w:val="24"/>
          <w:color w:val="auto"/>
        </w:rPr>
      </w:pPr>
    </w:p>
    <w:p>
      <w:pPr>
        <w:sectPr>
          <w:pgSz w:w="11900" w:h="16838" w:orient="portrait"/>
          <w:cols w:equalWidth="0" w:num="3">
            <w:col w:w="5100" w:space="720"/>
            <w:col w:w="2420" w:space="720"/>
            <w:col w:w="2140"/>
          </w:cols>
          <w:pgMar w:left="320" w:top="230" w:right="4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ectPr>
          <w:pgSz w:w="11900" w:h="16838" w:orient="portrait"/>
          <w:cols w:equalWidth="0" w:num="1">
            <w:col w:w="11100"/>
          </w:cols>
          <w:pgMar w:left="320" w:top="230" w:right="479" w:bottom="1440" w:gutter="0" w:footer="0" w:header="0"/>
          <w:type w:val="continuous"/>
        </w:sectPr>
      </w:pPr>
    </w:p>
    <w:p>
      <w:pPr>
        <w:spacing w:after="0" w:line="69" w:lineRule="exact"/>
        <w:rPr>
          <w:sz w:val="24"/>
          <w:szCs w:val="24"/>
          <w:color w:val="auto"/>
        </w:rPr>
      </w:pPr>
    </w:p>
    <w:p>
      <w:pPr>
        <w:ind w:left="560"/>
        <w:spacing w:after="0" w:line="196" w:lineRule="exact"/>
        <w:tabs>
          <w:tab w:leader="none" w:pos="8720" w:val="left"/>
          <w:tab w:leader="none" w:pos="93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75" w:lineRule="exact"/>
        <w:rPr>
          <w:sz w:val="24"/>
          <w:szCs w:val="24"/>
          <w:color w:val="auto"/>
        </w:rPr>
      </w:pPr>
    </w:p>
    <w:p>
      <w:pPr>
        <w:ind w:left="560"/>
        <w:spacing w:after="0" w:line="196" w:lineRule="exact"/>
        <w:tabs>
          <w:tab w:leader="none" w:pos="9600" w:val="left"/>
          <w:tab w:leader="none" w:pos="1026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93" w:lineRule="exact"/>
        <w:rPr>
          <w:sz w:val="24"/>
          <w:szCs w:val="24"/>
          <w:color w:val="auto"/>
        </w:rPr>
      </w:pPr>
    </w:p>
    <w:p>
      <w:pPr>
        <w:ind w:left="120" w:right="160" w:firstLine="440"/>
        <w:spacing w:after="0" w:line="22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ind w:left="120" w:right="220" w:firstLine="440"/>
        <w:spacing w:after="0" w:line="22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ind w:left="120" w:right="40" w:firstLine="440"/>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jc w:val="center"/>
        <w:ind w:right="-139"/>
        <w:spacing w:after="0" w:line="196" w:lineRule="exact"/>
        <w:tabs>
          <w:tab w:leader="none" w:pos="140" w:val="left"/>
          <w:tab w:leader="none" w:pos="160" w:val="left"/>
          <w:tab w:leader="none" w:pos="140" w:val="left"/>
        </w:tabs>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ab/>
        <w:t xml:space="preserve">Accelerated filer </w:t>
      </w:r>
      <w:r>
        <w:rPr>
          <w:rFonts w:ascii="MS PGothic" w:cs="MS PGothic" w:eastAsia="MS PGothic" w:hAnsi="MS PGothic"/>
          <w:sz w:val="17"/>
          <w:szCs w:val="17"/>
          <w:color w:val="auto"/>
        </w:rPr>
        <w:t>☐</w:t>
      </w:r>
      <w:r>
        <w:rPr>
          <w:rFonts w:ascii="Arial" w:cs="Arial" w:eastAsia="Arial" w:hAnsi="Arial"/>
          <w:sz w:val="17"/>
          <w:szCs w:val="17"/>
          <w:color w:val="auto"/>
        </w:rPr>
        <w:tab/>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7" w:lineRule="exact"/>
        <w:rPr>
          <w:sz w:val="24"/>
          <w:szCs w:val="24"/>
          <w:color w:val="auto"/>
        </w:rPr>
      </w:pPr>
    </w:p>
    <w:p>
      <w:pPr>
        <w:jc w:val="center"/>
        <w:ind w:right="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47" w:lineRule="exact"/>
        <w:rPr>
          <w:sz w:val="24"/>
          <w:szCs w:val="24"/>
          <w:color w:val="auto"/>
        </w:rPr>
      </w:pPr>
    </w:p>
    <w:p>
      <w:pPr>
        <w:ind w:left="120" w:right="40" w:firstLine="44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ind w:left="120" w:right="180" w:firstLine="440"/>
        <w:spacing w:after="0" w:line="218"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 w:lineRule="exact"/>
        <w:rPr>
          <w:sz w:val="24"/>
          <w:szCs w:val="24"/>
          <w:color w:val="auto"/>
        </w:rPr>
      </w:pPr>
    </w:p>
    <w:p>
      <w:pPr>
        <w:ind w:left="560"/>
        <w:spacing w:after="0" w:line="196" w:lineRule="exact"/>
        <w:tabs>
          <w:tab w:leader="none" w:pos="8460" w:val="left"/>
          <w:tab w:leader="none" w:pos="91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93" w:lineRule="exact"/>
        <w:rPr>
          <w:sz w:val="24"/>
          <w:szCs w:val="24"/>
          <w:color w:val="auto"/>
        </w:rPr>
      </w:pPr>
    </w:p>
    <w:p>
      <w:pPr>
        <w:ind w:left="120" w:right="300" w:firstLine="440"/>
        <w:spacing w:after="0" w:line="274" w:lineRule="auto"/>
        <w:rPr>
          <w:sz w:val="20"/>
          <w:szCs w:val="20"/>
          <w:color w:val="auto"/>
        </w:rPr>
      </w:pPr>
      <w:r>
        <w:rPr>
          <w:rFonts w:ascii="Arial" w:cs="Arial" w:eastAsia="Arial" w:hAnsi="Arial"/>
          <w:sz w:val="17"/>
          <w:szCs w:val="17"/>
          <w:color w:val="auto"/>
        </w:rPr>
        <w:t>The aggregate market value of the voting stock held by non-affiliates of the registrant as of June 30, 2021 (based on the closing price on such stock as reported by NYSE American on such date) was $47,201,000.</w:t>
      </w:r>
    </w:p>
    <w:p>
      <w:pPr>
        <w:spacing w:after="0" w:line="13" w:lineRule="exact"/>
        <w:rPr>
          <w:sz w:val="24"/>
          <w:szCs w:val="24"/>
          <w:color w:val="auto"/>
        </w:rPr>
      </w:pPr>
    </w:p>
    <w:p>
      <w:pPr>
        <w:ind w:left="2200" w:right="1540" w:hanging="1644"/>
        <w:spacing w:after="0" w:line="354" w:lineRule="auto"/>
        <w:rPr>
          <w:sz w:val="20"/>
          <w:szCs w:val="20"/>
          <w:color w:val="auto"/>
        </w:rPr>
      </w:pPr>
      <w:r>
        <w:rPr>
          <w:rFonts w:ascii="Arial" w:cs="Arial" w:eastAsia="Arial" w:hAnsi="Arial"/>
          <w:sz w:val="15"/>
          <w:szCs w:val="15"/>
          <w:color w:val="auto"/>
        </w:rPr>
        <w:t>The number of shares of the registrant’s Common Stock, par value $.01 per share, outstanding as of March 1, 2022 was 11,526,705. Auditor Firm ID: 1195 Auditor Name: UHY LLP Auditor Location: Farmington Hills, Michigan</w:t>
      </w:r>
    </w:p>
    <w:p>
      <w:pPr>
        <w:jc w:val="center"/>
        <w:ind w:right="-139"/>
        <w:spacing w:after="0"/>
        <w:rPr>
          <w:sz w:val="20"/>
          <w:szCs w:val="20"/>
          <w:color w:val="auto"/>
        </w:rPr>
      </w:pPr>
      <w:r>
        <w:rPr>
          <w:rFonts w:ascii="Arial" w:cs="Arial" w:eastAsia="Arial" w:hAnsi="Arial"/>
          <w:sz w:val="17"/>
          <w:szCs w:val="17"/>
          <w:b w:val="1"/>
          <w:bCs w:val="1"/>
          <w:color w:val="auto"/>
        </w:rPr>
        <w:t>DOCUMENTS INCORPORATED BY REFERENCE</w:t>
      </w:r>
    </w:p>
    <w:p>
      <w:pPr>
        <w:spacing w:after="0" w:line="68" w:lineRule="exact"/>
        <w:rPr>
          <w:sz w:val="24"/>
          <w:szCs w:val="24"/>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Portions of the registrant’s Proxy Statement, prepared for the Annual Meeting of Shareholders scheduled for May 11, 2022 to be filed with the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20" w:type="dxa"/>
            <w:vAlign w:val="bottom"/>
            <w:gridSpan w:val="12"/>
          </w:tcPr>
          <w:p>
            <w:pPr>
              <w:jc w:val="center"/>
              <w:ind w:right="3980"/>
              <w:spacing w:after="0"/>
              <w:rPr>
                <w:sz w:val="20"/>
                <w:szCs w:val="20"/>
                <w:color w:val="auto"/>
              </w:rPr>
            </w:pPr>
            <w:r>
              <w:rPr>
                <w:rFonts w:ascii="Arial" w:cs="Arial" w:eastAsia="Arial" w:hAnsi="Arial"/>
                <w:sz w:val="18"/>
                <w:szCs w:val="18"/>
                <w:b w:val="1"/>
                <w:bCs w:val="1"/>
                <w:color w:val="auto"/>
              </w:rPr>
              <w:t>MASTECH DIGITAL, INC.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gridSpan w:val="12"/>
          </w:tcPr>
          <w:p>
            <w:pPr>
              <w:jc w:val="center"/>
              <w:ind w:right="3980"/>
              <w:spacing w:after="0"/>
              <w:rPr>
                <w:sz w:val="20"/>
                <w:szCs w:val="20"/>
                <w:color w:val="auto"/>
              </w:rPr>
            </w:pPr>
            <w:r>
              <w:rPr>
                <w:rFonts w:ascii="Arial" w:cs="Arial" w:eastAsia="Arial" w:hAnsi="Arial"/>
                <w:sz w:val="18"/>
                <w:szCs w:val="18"/>
                <w:b w:val="1"/>
                <w:bCs w:val="1"/>
                <w:color w:val="auto"/>
                <w:w w:val="97"/>
              </w:rPr>
              <w:t>2021 FORM 10-K</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gridSpan w:val="12"/>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gridSpan w:val="12"/>
            <w:vMerge w:val="restart"/>
          </w:tcPr>
          <w:p>
            <w:pPr>
              <w:jc w:val="center"/>
              <w:ind w:right="4460"/>
              <w:spacing w:after="0"/>
              <w:rPr>
                <w:sz w:val="20"/>
                <w:szCs w:val="20"/>
                <w:color w:val="auto"/>
              </w:rPr>
            </w:pPr>
            <w:r>
              <w:rPr>
                <w:rFonts w:ascii="Arial" w:cs="Arial" w:eastAsia="Arial" w:hAnsi="Arial"/>
                <w:sz w:val="18"/>
                <w:szCs w:val="18"/>
                <w:b w:val="1"/>
                <w:bCs w:val="1"/>
                <w:color w:val="auto"/>
                <w:w w:val="98"/>
              </w:rPr>
              <w:t>PART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320" w:type="dxa"/>
            <w:vAlign w:val="bottom"/>
            <w:gridSpan w:val="12"/>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560" w:type="dxa"/>
            <w:vAlign w:val="bottom"/>
            <w:gridSpan w:val="22"/>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560" w:type="dxa"/>
            <w:vAlign w:val="bottom"/>
            <w:gridSpan w:val="2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8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UNRESOLVED STAFF COMMENTS</w:t>
              </w:r>
            </w:hyperlink>
          </w:p>
        </w:tc>
        <w:tc>
          <w:tcPr>
            <w:tcW w:w="67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5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PROPERTIES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LEGAL PROCEEDINGS</w:t>
              </w:r>
            </w:hyperlink>
          </w:p>
        </w:tc>
        <w:tc>
          <w:tcPr>
            <w:tcW w:w="77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30"/>
        </w:trPr>
        <w:tc>
          <w:tcPr>
            <w:tcW w:w="1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gridSpan w:val="12"/>
          </w:tcPr>
          <w:p>
            <w:pPr>
              <w:jc w:val="center"/>
              <w:ind w:right="4460"/>
              <w:spacing w:after="0"/>
              <w:rPr>
                <w:sz w:val="20"/>
                <w:szCs w:val="20"/>
                <w:color w:val="auto"/>
              </w:rPr>
            </w:pPr>
            <w:r>
              <w:rPr>
                <w:rFonts w:ascii="Arial" w:cs="Arial" w:eastAsia="Arial" w:hAnsi="Arial"/>
                <w:sz w:val="18"/>
                <w:szCs w:val="18"/>
                <w:b w:val="1"/>
                <w:bCs w:val="1"/>
                <w:color w:val="auto"/>
              </w:rPr>
              <w:t>PART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640" w:type="dxa"/>
            <w:vAlign w:val="bottom"/>
            <w:tcBorders>
              <w:bottom w:val="single" w:sz="8" w:color="0000EE"/>
            </w:tcBorders>
            <w:gridSpan w:val="18"/>
          </w:tcPr>
          <w:p>
            <w:pPr>
              <w:spacing w:after="0" w:line="190"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MARKET FOR THE REGISTRANT’S COMMON EQUITY, RELATED STOCKHOLDER MATTERS AND ISSUER</w:t>
              </w:r>
            </w:hyperlink>
          </w:p>
        </w:tc>
        <w:tc>
          <w:tcPr>
            <w:tcW w:w="920" w:type="dxa"/>
            <w:vAlign w:val="bottom"/>
            <w:gridSpan w:val="4"/>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PURCHASES OF EQUITY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RESERVED</w:t>
              </w:r>
            </w:hyperlink>
          </w:p>
        </w:tc>
        <w:tc>
          <w:tcPr>
            <w:tcW w:w="866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56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QUANTITATIVE AND QUALITATIVE DISCLOSURES ABOUT MARKET RISK</w:t>
              </w:r>
            </w:hyperlink>
          </w:p>
        </w:tc>
        <w:tc>
          <w:tcPr>
            <w:tcW w:w="2760" w:type="dxa"/>
            <w:vAlign w:val="bottom"/>
            <w:tcBorders>
              <w:top w:val="single" w:sz="8" w:color="0000EE"/>
            </w:tcBorders>
            <w:gridSpan w:val="4"/>
          </w:tcPr>
          <w:p>
            <w:pPr>
              <w:spacing w:after="0"/>
              <w:rPr>
                <w:sz w:val="17"/>
                <w:szCs w:val="17"/>
                <w:color w:val="auto"/>
              </w:rPr>
            </w:pPr>
          </w:p>
        </w:tc>
        <w:tc>
          <w:tcPr>
            <w:tcW w:w="6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64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FINANCIAL STATEMENTS AND SUPPLEMENTARY DATA</w:t>
              </w:r>
            </w:hyperlink>
          </w:p>
        </w:tc>
        <w:tc>
          <w:tcPr>
            <w:tcW w:w="49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560" w:type="dxa"/>
            <w:vAlign w:val="bottom"/>
            <w:gridSpan w:val="2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 DISCLOSURE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25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CONTROLS AND PROCEDURES</w:t>
              </w:r>
            </w:hyperlink>
          </w:p>
        </w:tc>
        <w:tc>
          <w:tcPr>
            <w:tcW w:w="6480" w:type="dxa"/>
            <w:vAlign w:val="bottom"/>
            <w:tcBorders>
              <w:top w:val="single" w:sz="8" w:color="0000EE"/>
            </w:tcBorders>
            <w:gridSpan w:val="12"/>
          </w:tcPr>
          <w:p>
            <w:pPr>
              <w:spacing w:after="0"/>
              <w:rPr>
                <w:sz w:val="17"/>
                <w:szCs w:val="17"/>
                <w:color w:val="auto"/>
              </w:rPr>
            </w:pPr>
          </w:p>
        </w:tc>
        <w:tc>
          <w:tcPr>
            <w:tcW w:w="5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560" w:type="dxa"/>
            <w:vAlign w:val="bottom"/>
            <w:gridSpan w:val="2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9C.</w:t>
            </w:r>
          </w:p>
        </w:tc>
        <w:tc>
          <w:tcPr>
            <w:tcW w:w="69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DISCLOSURE REGARDING FOREIGN JURISDICTIONS THAT PREVENT INSPECTIONS</w:t>
              </w:r>
            </w:hyperlink>
          </w:p>
        </w:tc>
        <w:tc>
          <w:tcPr>
            <w:tcW w:w="26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30"/>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gridSpan w:val="12"/>
          </w:tcPr>
          <w:p>
            <w:pPr>
              <w:jc w:val="center"/>
              <w:ind w:right="4440"/>
              <w:spacing w:after="0"/>
              <w:rPr>
                <w:sz w:val="20"/>
                <w:szCs w:val="20"/>
                <w:color w:val="auto"/>
              </w:rPr>
            </w:pPr>
            <w:r>
              <w:rPr>
                <w:rFonts w:ascii="Arial" w:cs="Arial" w:eastAsia="Arial" w:hAnsi="Arial"/>
                <w:sz w:val="18"/>
                <w:szCs w:val="18"/>
                <w:b w:val="1"/>
                <w:bCs w:val="1"/>
                <w:color w:val="auto"/>
              </w:rPr>
              <w:t>PART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5780" w:type="dxa"/>
            <w:vAlign w:val="bottom"/>
            <w:tcBorders>
              <w:bottom w:val="single" w:sz="8" w:color="0000EE"/>
            </w:tcBorders>
            <w:gridSpan w:val="14"/>
          </w:tcPr>
          <w:p>
            <w:pPr>
              <w:spacing w:after="0" w:line="190"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DIRECTORS, EXECUTIVE OFFICERS AND CORPORATE GOVERNANCE</w:t>
              </w:r>
            </w:hyperlink>
          </w:p>
        </w:tc>
        <w:tc>
          <w:tcPr>
            <w:tcW w:w="3780" w:type="dxa"/>
            <w:vAlign w:val="bottom"/>
            <w:gridSpan w:val="8"/>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24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EXECUTIVE COMPENSATION</w:t>
              </w:r>
            </w:hyperlink>
          </w:p>
        </w:tc>
        <w:tc>
          <w:tcPr>
            <w:tcW w:w="71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560" w:type="dxa"/>
            <w:vAlign w:val="bottom"/>
            <w:gridSpan w:val="22"/>
          </w:tcPr>
          <w:p>
            <w:pPr>
              <w:spacing w:after="0" w:line="196" w:lineRule="exact"/>
              <w:rPr>
                <w:rFonts w:ascii="Arial" w:cs="Arial" w:eastAsia="Arial" w:hAnsi="Arial"/>
                <w:sz w:val="18"/>
                <w:szCs w:val="18"/>
                <w:color w:val="0000EE"/>
                <w:w w:val="98"/>
              </w:rPr>
            </w:pPr>
            <w:hyperlink w:anchor="page84">
              <w:r>
                <w:rPr>
                  <w:rFonts w:ascii="Arial" w:cs="Arial" w:eastAsia="Arial" w:hAnsi="Arial"/>
                  <w:sz w:val="18"/>
                  <w:szCs w:val="18"/>
                  <w:color w:val="0000EE"/>
                  <w:w w:val="98"/>
                </w:rPr>
                <w:t>SECURITY OWNERSHIP OF CERTAIN BENEFICIAL OWNERS AND MANAGEMENT AND RELATED SHAREHOLDER</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MATTERS</w:t>
              </w:r>
            </w:hyperlink>
          </w:p>
        </w:tc>
        <w:tc>
          <w:tcPr>
            <w:tcW w:w="8320" w:type="dxa"/>
            <w:vAlign w:val="bottom"/>
            <w:tcBorders>
              <w:top w:val="single" w:sz="8" w:color="0000EE"/>
            </w:tcBorders>
            <w:gridSpan w:val="17"/>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6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CERTAIN RELATIONSHIPS AND RELATED TRANSACTIONS, AND DIRECTOR INDEPENDENCE</w:t>
              </w:r>
            </w:hyperlink>
          </w:p>
        </w:tc>
        <w:tc>
          <w:tcPr>
            <w:tcW w:w="18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39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PRINCIPAL ACCOUNTANT FEES AND SERVICES</w:t>
              </w:r>
            </w:hyperlink>
          </w:p>
        </w:tc>
        <w:tc>
          <w:tcPr>
            <w:tcW w:w="56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30"/>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20" w:type="dxa"/>
            <w:vAlign w:val="bottom"/>
            <w:gridSpan w:val="12"/>
          </w:tcPr>
          <w:p>
            <w:pPr>
              <w:jc w:val="center"/>
              <w:ind w:right="444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560" w:type="dxa"/>
            <w:vAlign w:val="bottom"/>
            <w:gridSpan w:val="22"/>
          </w:tcPr>
          <w:p>
            <w:pPr>
              <w:spacing w:after="0" w:line="190" w:lineRule="exact"/>
              <w:rPr>
                <w:rFonts w:ascii="Arial" w:cs="Arial" w:eastAsia="Arial" w:hAnsi="Arial"/>
                <w:sz w:val="18"/>
                <w:szCs w:val="18"/>
                <w:color w:val="0000EE"/>
              </w:rPr>
            </w:pPr>
            <w:hyperlink w:anchor="page85">
              <w:r>
                <w:rPr>
                  <w:rFonts w:ascii="Arial" w:cs="Arial" w:eastAsia="Arial" w:hAnsi="Arial"/>
                  <w:sz w:val="18"/>
                  <w:szCs w:val="18"/>
                  <w:color w:val="0000EE"/>
                </w:rPr>
                <w:t>EXHIBITS AND FINANCIAL STATEMENT SCHEDULES</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4400" w:type="dxa"/>
            <w:vAlign w:val="bottom"/>
            <w:gridSpan w:val="12"/>
            <w:shd w:val="clear" w:color="auto" w:fill="0000EE"/>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SIGNATURES</w:t>
              </w:r>
            </w:hyperlink>
          </w:p>
        </w:tc>
        <w:tc>
          <w:tcPr>
            <w:tcW w:w="9560" w:type="dxa"/>
            <w:vAlign w:val="bottom"/>
            <w:gridSpan w:val="2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This Annual Report on Form 10-K contains statements that are not historical facts and that constitute “forward looking statements” within the meaning of such terms under the Private Securities Litigation Reform Act of 1995. These statements are not guarantees of future performance and involve certain risks, uncertainties and assumptions that are difficult to predict. Actual outcomes and results may differ materially from those expressed in, or implied by, our forward-looking statements. Words such as “expects”, “intends”, “anticipates”, “believes”, “estimates”, “assumes”, “projects” and similar expressions are intended to identify such forward-looking statements. You should not rely solely on the forward-looking statements and should consider all uncertainties and risks throughout this Annual Report on Form 10-K, including those described under “Risk Factors”. These statements are based on information currently available, and we undertake no obligation to update any forward-looking statement as circumstances change.</w:t>
      </w:r>
    </w:p>
    <w:p>
      <w:pPr>
        <w:spacing w:after="0" w:line="16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Factors or events that could cause results or performance to differ materially from those expressed in our forward-looking statements include the following:</w:t>
      </w:r>
    </w:p>
    <w:p>
      <w:pPr>
        <w:spacing w:after="0" w:line="197"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U.S. and global economic conditions and economic conditions in the industries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severity and duration of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existing clients and obtain new clients;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competitive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new service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and retention of skilled technical employees and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changes;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standards, rules and interpretations;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terminability of many of our contracts without penalty to our clients;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immigration laws, patterns and other factors related to visa 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and unanticipated developments resulting from litigations, regulatory investigations and similar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due to currency exchange rate variations;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other U.S. laws, rules and regulations, including the Internal Revenue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India’s geopolitical environment, laws, rules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success of new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management’s ability to identify and manage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other health epidemics or other outbreaks that disrupt business and day-to-day activities;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 of our systems due to a cyber security attack.</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Mastech Digital, Inc. (referred to in this report as “Mastech Digital”, “Mastech”, the “Company”, “us”, “our” or “we”) is a provider of Digital Transformation IT Services. The Company offers data and analytics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86"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solutions; digital learning; and IT staffing services for both digital and mainstream technologies. Headquartered near Pittsburgh, Pennsylvania, we have approximately 1,600 consultants that provide services across a broad spectrum of industry verticals. We do not sell, lease or otherwise market computer software or hardware and essentially 100% of our revenue is derived from the sale of data and analytics, IT staffing and digital transformation services.</w:t>
      </w:r>
    </w:p>
    <w:p>
      <w:pPr>
        <w:spacing w:after="0" w:line="149" w:lineRule="exact"/>
        <w:rPr>
          <w:sz w:val="20"/>
          <w:szCs w:val="20"/>
          <w:color w:val="auto"/>
        </w:rPr>
      </w:pPr>
    </w:p>
    <w:p>
      <w:pPr>
        <w:jc w:val="both"/>
        <w:ind w:left="120" w:right="40" w:firstLine="440"/>
        <w:spacing w:after="0" w:line="308" w:lineRule="auto"/>
        <w:rPr>
          <w:sz w:val="20"/>
          <w:szCs w:val="20"/>
          <w:color w:val="auto"/>
        </w:rPr>
      </w:pPr>
      <w:r>
        <w:rPr>
          <w:rFonts w:ascii="Arial" w:cs="Arial" w:eastAsia="Arial" w:hAnsi="Arial"/>
          <w:sz w:val="17"/>
          <w:szCs w:val="17"/>
          <w:color w:val="auto"/>
        </w:rPr>
        <w:t>Our Data and Analytics Services segment delivers specialized data management, data engineering, customer experience consulting, data analytics and cloud services to customers globally. Each of these services can be delivered using onsite and offshore resources.</w:t>
      </w:r>
    </w:p>
    <w:p>
      <w:pPr>
        <w:spacing w:after="0" w:line="14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IT Staffing Services segment combines technical expertise with business process experience to deliver a broad range of services in digital and mainstream technologies. Our digital technology services include data management and analytics, cloud, mobility, social and automation. Our digital transformation services also include staffing and project-based services around digital learning. Our mainstream technologies services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 “project focused” temporary IT staffing requirements.</w:t>
      </w:r>
    </w:p>
    <w:p>
      <w:pPr>
        <w:spacing w:after="0" w:line="19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Sales and marketing of our services are handled by separate and distinct sales organizations within each of our two business segments. Our data and analytic services are marketed through 1) account executives who largely focus on new business development; and 2) technical relationship managers (principals) who focus on growing strong relationships within existing clients. Both account executives and technical relationship managers reside in the U.S., Canada, India, Singapore and Europe.</w:t>
      </w:r>
    </w:p>
    <w:p>
      <w:pPr>
        <w:spacing w:after="0" w:line="18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Our IT staffing and digital transformation services are marketed through account executives across the U.S. who deploy a telesales model, supplemented with client visits. This cost-effective model is aimed at integrator and other staffing clients, with a need to supplement their abilities to attract highly qualified temporary IT personnel. Additionally, we use a branch service sales model in select geographies within the U.S. The branch services model employs local sales and recruitment resources, aimed at establishing strong relationships with both end-clients and candidates.</w:t>
      </w:r>
    </w:p>
    <w:p>
      <w:pPr>
        <w:spacing w:after="0" w:line="15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recruit for both segments through global recruitment centers located in the U.S. and India that deliver a full range of recruiting and sourcing services. Our centers employ approximately 200 recruiters and sourcers that focus on recruiting U.S.-based candidates to service a geographically-diverse client base in the U.S. Our ability to respond to client requests from our offshore recruiting centers, with their expanded search coverage, round-the-clock sourcing, and extensive pool of candidates, gives us the ability to deliver high-quality candidates to our clients in a timely fashion.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and Developments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Historically, we operated as the former Professional Services segment of iGATE Corporation (“iGATE”). Mastech Digital, Inc. (f/k/a Mastech Holdings, Inc.) was incorporated in Pennsylvania as a wholly-owned subsidiary of iGATE on June 6, 2008 in anticipation of our spin-off from iGATE. On September 30, 2008, we spun-off from iGATE and began operating as an independent public company. Together with our operating subsidiaries, we have over 35 years of history as a reliable provider of IT staffing services.</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Established in 1986, our business model focused on importing global IT talent to the U.S. to meet the growing demand for IT professionals. In the early 2000s, the demand for IT professionals declined and the supply of IT resources quickly exceeded a declining demand curve. No longer was there a need to recruit abroad for technology talent, as supply was abundant in the U.S. Accordingly, we retooled our recruiting model to focus on the recruitment of local U.S.-based IT talent. Given our reputation with and knowledge of H1-B visas, part of</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8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recruiting efforts focused on attracting H1-B visa holders currently in the U.S. This approach gave us access to a larger and differentiated recruiting pool when compared to many of our competitors.</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2003, we launched our offshore global recruitment center model in an effort to meet an increase in industry demand with lower cost recruiting resources. Over the last eighteen years, we have made significant investments in our offshore center to improve infrastructure, processes and effectiveness. Additionally, we have made investments in recent years in our domestic recruitment structure, primarily to support our branch service model.</w:t>
      </w:r>
    </w:p>
    <w:p>
      <w:pPr>
        <w:spacing w:after="0" w:line="18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On June 15, 2015, we completed the acquisition of Hudson Global Resources Management, Inc.’s U.S. IT staffing business (“Hudson IT”). Hudson IT was a domestic IT staffing business with offices in Chicago, Boston, Tampa and Orlando. Hudson IT deployed a branch service business model that targeted clients that are direct end-users of IT staffing services. Additionally, as part of the Hudson IT acquisition, we acquired a digital learning services practice which became one of our technology practices.</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2016, we changed our name to Mastech Digital, Inc. The name change was part of our rebranding initiative that reflects our transformation into a digital technologies company. The rebranding also included a logo change and a refreshed corporate website.</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2017, we added specialized capabilities in delivering data management and analytics services to a global customer-base through the acquisition of the services division of InfoTrellis, Inc. (“InfoTrellis”), a project-based consulting services company with specialized capabilities in data management and analytics.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2018 and 2019, we significantly expanded our service offerings and capabilities within our Data and Analytics Services segment.</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2020, we launched a new service offering in our IT Staffing Services segment branded as MAS-REMOTE. This new offering allows clients to transcend beyond self-imposed geographical boundaries to gain access to top talent in the U.S. and Canada and reflects learnings from the COVID-19 pandemic that remote workers can be equally or more effective. Also in 2020, we completed the acquisition of AmberLeaf Partners, Inc., (“AmberLeaf”) which enhanced our Data and Analytics Services segment’s capabilities with its expertise in customer experience consulting and managed services.</w:t>
      </w:r>
    </w:p>
    <w:p>
      <w:pPr>
        <w:spacing w:after="0" w:line="18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2021, we added cloud service capabilities to our Data and Analytics Services segment and expanded our IT Staffing Services segment’s MAS-REMOTE offering to include off-shore staffing services.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revenues are generated from two business segments: Data and Analytics Services and IT Staffing Services. Details related to these two businesses are discussed separately below, while information about our employees, differentiators, intellectual property rights and various other aspects of our business is shown in the aggregate for Mastech Digital, Inc.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and Analytics Services</w:t>
      </w:r>
    </w:p>
    <w:p>
      <w:pPr>
        <w:spacing w:after="0" w:line="121"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Our Data and Analytics Services segment began with the acquisition of InfoTrellis, Inc.’s services business in July 2017. The resulting business unit and segment operates under the name Mastech InfoTrellis, with locations in Atlanta, Toronto, London, Dublin, Singapore, and Chennai, India. Mastech InfoTrellis is a specialist data management, data engineering, and data science business focused on helping companies “Architect Enterprise Intelligence” to realize improved returns on their investment. With the October 2020 acquisition of AmberLeaf, this segment gained complimentary capabilities in customer experience consulting and managed services.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Founded by the engineering principals behind IBM’s Master Data Management (“MDM”) products and Informatica’s Customer 360 code-base, Mastech InfoTrellis represents one of the largest concentrations of technology-agnostic data management, data engineering, and data science expertise in the marketplace.</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help clients accelerate business velocity, minimize costs, and improve corporate resiliency. We architect enterprise intelligence through personalized, process-oriented programs consisting of strategy, data management (including master data management), business intelligence and reporting, data engineering, customer experience, predictive analytics, and advanced analytics. We activate the value of information assets by building a strong data foundation and adding to it, brick by brick, to create modern, advanced analytics capabilities, such as Artificial Intelligence and Machine Learning.</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Sales and Marketing at Mastech InfoTrellis is a single, integrated function spanning across four groups in multiple locations: Marketing, Inside Sales, Principals, and Client Partners.</w:t>
      </w:r>
    </w:p>
    <w:p>
      <w:pPr>
        <w:spacing w:after="0" w:line="76" w:lineRule="exact"/>
        <w:rPr>
          <w:sz w:val="20"/>
          <w:szCs w:val="20"/>
          <w:color w:val="auto"/>
        </w:rPr>
      </w:pPr>
    </w:p>
    <w:p>
      <w:pPr>
        <w:ind w:left="1080" w:right="120" w:hanging="424"/>
        <w:spacing w:after="0" w:line="286"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Marketing team is responsible for designing outbound campaigns around data and business value, for dissemination through our digital channels and industry publications. Our Marketing team also works with our experts and thought leaders to create and disseminate data management, data engineering and data science thought leadership articles and white papers.</w:t>
      </w:r>
    </w:p>
    <w:p>
      <w:pPr>
        <w:spacing w:after="0" w:line="70"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Inside Sales team is responsible for operating integrated email-and-voice outbound marketing campaigns targeted at specific industries and functional populations, on an ongoing basis.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onshore team of Principals and Client Partners is responsible for building buyer relationships with prospects and leads, and for converting those conversations into value-positive revenue generating engagements.</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addition to the above, our Partner / Channel Relationships (such as those we have with IBM and Informatica, among others) also provide us with a significant pipeline of opportunities and new business. Furthermore, prospective clients reach us through referrals from our existing client base, our reputation in the data &amp; analytics domain, and through our industry partners.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Once engaged with a prospect, our approach to value-delivery starts with the definition of a discrete business problem. We then master and manage our clients’ data and develop data products and deploy purpose-built advanced analytics, machine learning, and artificial intelligence, to deliver greater business velocity, significant cost reduction, and greater corporate resilience.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Practices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Mastech InfoTrellis builds a strong data foundation that delivers significant business value. Our expertise and technology practice stretches across five key domain areas.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Data Management</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Our Data Management services help enterprises identify, acquire, store, manage, and transform data to fuel impactful business insights. Our offerings in this practice are:</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Advisory, where we design strategic roadmaps for clients to make informed decisions with analytics.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Services, which includes a set of strategy and implementation services focused on Cloud Pak for Data, Data Governance solutions, and Master Data Management.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Management CoE, where we partner with clients to make Data Management and Data Governance easier with a Center of Excellence (CoE) while migrating to the Cloud without business interruptions.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Data Engineering</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establish an Enterprise Data Environment to derive insights, knowledge, and intelligence and deliver value from a modern, agile, and trusted implementation architecture. Our offerings fall under two broad categories: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Technology</w:t>
      </w:r>
    </w:p>
    <w:p>
      <w:pPr>
        <w:spacing w:after="0" w:line="131" w:lineRule="exact"/>
        <w:rPr>
          <w:sz w:val="20"/>
          <w:szCs w:val="20"/>
          <w:color w:val="auto"/>
        </w:rPr>
      </w:pPr>
    </w:p>
    <w:p>
      <w:pPr>
        <w:ind w:left="1080" w:right="4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Enterprise Data Integration is a single desk for ingesting existing data while providing the capability to integrate new data sources for scale.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Enterprise Intelligence Hub (EIH) brings together a modular architecture across all the major ecosystem components to allow an enterprise to adapt and grow at a much higher velocity.</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Entity Resolution creates a Record Linkage process across the Enterprise by consistently identifying existing and new entities through the data connectivity process.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Enterprise Data Bus (EDB) is a scalable, fault-tolerant ecosystem that can collect, transport, engineer, and act on data for our clients in a reliable manner.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Service</w:t>
      </w:r>
    </w:p>
    <w:p>
      <w:pPr>
        <w:spacing w:after="0" w:line="131" w:lineRule="exact"/>
        <w:rPr>
          <w:sz w:val="20"/>
          <w:szCs w:val="20"/>
          <w:color w:val="auto"/>
        </w:rPr>
      </w:pPr>
    </w:p>
    <w:p>
      <w:pPr>
        <w:ind w:left="1080" w:right="6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Engineering Advisory Services help enterprises develop a coherent data strategy to become a more data-driven enterprise by assessing the enterprise data ecosystem and determining the changes needed.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Data Engineering Managed Services is a comprehensive approach to manage and support enterprise Data Information Systems.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Data Science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bring our clients a rapid-learning culture, coupled with a co-creation-driven approach, to solve business problems and make smart decisions by applying Data Science powered by Machine Learning, Artificial Intelligence, and Knowledge Graphs. Our analytics and AI/ML solutions facilitate both culture and business transformation, leveraging domain knowledge with cognitive computing to produce unbiased learning accelerators for different parts of our client’s business. We offer:</w:t>
      </w:r>
    </w:p>
    <w:p>
      <w:pPr>
        <w:spacing w:after="0" w:line="92"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Analytics Advisory – a strategic view of how analytics can drive digital transformation.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Analytics Services – to drive excellence in reporting and modeling.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Analytics Centre of Excellence—data science expertise delivered on state-of-the-art data architecture and analytics infrastructure.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Customer Experience Consulting</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We optimize Customer Experience (“CX”) across Sales, Service, and Marketing with relevant, coordinated, consistent, and personalized experiences informed by analytics:</w:t>
      </w:r>
    </w:p>
    <w:p>
      <w:pPr>
        <w:spacing w:after="0" w:line="76" w:lineRule="exact"/>
        <w:rPr>
          <w:sz w:val="20"/>
          <w:szCs w:val="20"/>
          <w:color w:val="auto"/>
        </w:rPr>
      </w:pPr>
    </w:p>
    <w:p>
      <w:pPr>
        <w:ind w:left="1080" w:right="6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CX Advisory Services – we design a roadmap for Customer Experience across all enterprise functions that are fast-paced and cost-effective and provide the client with information needed to start their Customer Experience initiative.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CX Accelerators – a vertical-focused suite that uses a set of frameworks to allow clients to get a head start on their implementation instead of starting with a blank sheet of paper.</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CXaaS (Customer Experience as a Service) – tailored to manage specific client needs, informed by analytics, across all aspects of Customer Experience in Sales, Marketing, and Services.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Cloud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help our clients take advantage of enterprise Cloud Infrastructure by modernizing application development and accelerate Cloud adoption:</w:t>
      </w:r>
    </w:p>
    <w:p>
      <w:pPr>
        <w:spacing w:after="0" w:line="154" w:lineRule="exact"/>
        <w:rPr>
          <w:sz w:val="20"/>
          <w:szCs w:val="20"/>
          <w:color w:val="auto"/>
        </w:rPr>
      </w:pPr>
    </w:p>
    <w:p>
      <w:pPr>
        <w:ind w:left="1080" w:right="3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Cloud Advisory Services – where we build our clients a Cloud journey roadmap to reduce DevOps and CloudOps challenges in Cloud adoption while supporting best-practices of agile application development.</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Cloud Adoption Services – to help enterprises with Cloud adoption and deployment of both cloud-native applications and the migration of existing applications to the Cloud.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Cloud CoE – to build and manage our clients’ Cloud infrastructure and DevOps and CloudOps practices with a one-stop delivery model.</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Geographic and Vertical Focus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Mastech InfoTrellis’ primary customer geographies are in North America; however, we have customers and prospects in Europe, the Middle East and the ASEAN region. Our target clients are largely corporations with revenues exceeding $1 billion. Our typical project size, excluding our multi-year Center of Excellence contracts, is in the $500,000 to $1 million range depending on the scope and duration of the engagement. Our Center of Excellence contracts generally range from $5 million to $12 million. From a vertical perspective, customers in the financial services, retail, healthcare, manufacturing and government segments are significant users of our services. Below is a breakdown of customer revenue percentages for each industry vertical in 2021:</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1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Financial Services</w:t>
            </w:r>
          </w:p>
        </w:tc>
        <w:tc>
          <w:tcPr>
            <w:tcW w:w="28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34%</w:t>
            </w:r>
          </w:p>
        </w:tc>
        <w:tc>
          <w:tcPr>
            <w:tcW w:w="336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Healthcare</w:t>
            </w: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r>
      <w:tr>
        <w:trPr>
          <w:trHeight w:val="216"/>
        </w:trPr>
        <w:tc>
          <w:tcPr>
            <w:tcW w:w="1980" w:type="dxa"/>
            <w:vAlign w:val="bottom"/>
          </w:tcPr>
          <w:p>
            <w:pPr>
              <w:ind w:left="280"/>
              <w:spacing w:after="0"/>
              <w:rPr>
                <w:sz w:val="20"/>
                <w:szCs w:val="20"/>
                <w:color w:val="auto"/>
              </w:rPr>
            </w:pPr>
            <w:r>
              <w:rPr>
                <w:rFonts w:ascii="Arial" w:cs="Arial" w:eastAsia="Arial" w:hAnsi="Arial"/>
                <w:sz w:val="18"/>
                <w:szCs w:val="18"/>
                <w:color w:val="auto"/>
              </w:rPr>
              <w:t>Manufacturing</w:t>
            </w:r>
          </w:p>
        </w:tc>
        <w:tc>
          <w:tcPr>
            <w:tcW w:w="2860" w:type="dxa"/>
            <w:vAlign w:val="bottom"/>
          </w:tcPr>
          <w:p>
            <w:pPr>
              <w:jc w:val="right"/>
              <w:ind w:right="2050"/>
              <w:spacing w:after="0"/>
              <w:rPr>
                <w:sz w:val="20"/>
                <w:szCs w:val="20"/>
                <w:color w:val="auto"/>
              </w:rPr>
            </w:pPr>
            <w:r>
              <w:rPr>
                <w:rFonts w:ascii="Arial" w:cs="Arial" w:eastAsia="Arial" w:hAnsi="Arial"/>
                <w:sz w:val="18"/>
                <w:szCs w:val="18"/>
                <w:color w:val="auto"/>
              </w:rPr>
              <w:t>21%</w:t>
            </w:r>
          </w:p>
        </w:tc>
        <w:tc>
          <w:tcPr>
            <w:tcW w:w="3360" w:type="dxa"/>
            <w:vAlign w:val="bottom"/>
          </w:tcPr>
          <w:p>
            <w:pPr>
              <w:ind w:left="2140"/>
              <w:spacing w:after="0"/>
              <w:rPr>
                <w:sz w:val="20"/>
                <w:szCs w:val="20"/>
                <w:color w:val="auto"/>
              </w:rPr>
            </w:pPr>
            <w:r>
              <w:rPr>
                <w:rFonts w:ascii="Arial" w:cs="Arial" w:eastAsia="Arial" w:hAnsi="Arial"/>
                <w:sz w:val="18"/>
                <w:szCs w:val="18"/>
                <w:color w:val="auto"/>
              </w:rPr>
              <w:t>Government</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6%</w:t>
            </w:r>
          </w:p>
        </w:tc>
      </w:tr>
      <w:tr>
        <w:trPr>
          <w:trHeight w:val="216"/>
        </w:trPr>
        <w:tc>
          <w:tcPr>
            <w:tcW w:w="1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28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20%</w:t>
            </w:r>
          </w:p>
        </w:tc>
        <w:tc>
          <w:tcPr>
            <w:tcW w:w="336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 Staffing Services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our IT Staffing Services business, we typically negotiate our business relationship by using one of three methods to gain agreement on the services to be provided. We either establish our relationship based on a simple standard term sheet; create a Statement of Work (“SOW”) specific to a project; or enter into a master service agreement with a client that describes the framework of our relationship. In each case, a client will submit to us positions and / or requirements that they plan on satisfying by using temporary contractors. We propose consultants to the client that we believe satisfy their needs and propose an hourly bill rate for each consultant submitted. The client will select our consultant or a competing firm’s consultant based on their view of quality, fit and pricing. Consultant specific contractual details, such as billable rates, are documented as an annex to the agreement type that is chosen by the client. While we have the ability to deliver our digital transformation services on a managed solutions basis, the majority of our assignments have been delivered as staffing assignments.</w:t>
      </w:r>
    </w:p>
    <w:p>
      <w:pPr>
        <w:spacing w:after="0" w:line="178"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We generally do not enjoy exclusivity with respect to a client’s contractor needs. Most of our clients use multiple suppliers to satisfy their requirements and to ensure a competitive environment. Our success with any particular client is determined by (a) the quality and fit of our consultant;</w:t>
      </w:r>
    </w:p>
    <w:p>
      <w:pPr>
        <w:ind w:left="120" w:right="80" w:hanging="4"/>
        <w:spacing w:after="0" w:line="323" w:lineRule="auto"/>
        <w:tabs>
          <w:tab w:leader="none" w:pos="3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deliver a quality consultant on a timely basis; and (c) pricing considerations. We invoice our clients on a weekly, bi-weekly or monthly basis, in accordance with the terms of our agreement. Typical credit terms require our invoices to be paid within 30 to 45 days of receipt by the client.</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While our primary focus is on contract IT staffing and digital transformation services, we also provide permanent placement services for our clients when opportunities arise. Permanent placement revenues have historically represented less than 1% of our total revenues.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We target much of our marketing efforts on businesses and institutions with significant budgets and recurring IT staffing and digital transformation needs. We look to develop relationships with new clients. In addition, we work to penetrate our existing client relationships to deeper levels. Most of our strategic relationships are established at the vice president / sales director level.</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Selling is conducted through account executives utilizing a sales model which is desirable to our clients’ needs. For clients with a need to supplement their own abilities to attract highly qualified temporary IT personnel and prefer a low-touch sales model, such as integrator and staffing clients, we generally deploy a centralized telesales model, complemented with client visits. We supplement these domestic sales efforts through our sales organization in India, whose account executives target smaller IT staffing clients utilizing a cost-effective offshore telesales model. For end-user clients, who typically prefer a higher-touch sales model, we generally utilize a branch service model which deploys sales and recruitment resources locally, or regionally, in select geographies within the U.S. Account executives generally are responsible for a combination of new business development efforts and expanding existing client relationships. Account executives at our branch operations call on, and meet with, potential new customers and are also responsible for maintaining existing client relationships within their geographic territory. These account executives are paired with recruiters and both receive incentive compensation based on revenue generation activities using a localized sales and recruitment model.</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Many large end-users of IT staffing services retain a third party to provide vendor management services to centralize the consultant hiring process and reduce costs. Under this arrangement, the third-party managed service provider (“MSP”) retains control of the vendor selection and vendor evaluation process, which somewhat weakens the relationship built with the client. Our lower-cost centralized telesales model and highly efficient offshore recruiting model have better positioned us to respond to the growing use of MSPs.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Recruiting</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operate several small recruiting centers located in the U.S. and one significantly larger facility in NOIDA, India that deliver a full range of recruiting and sourcing services. Our centers employ approximately 200 recruiters and sourcers who focus on recruiting U.S.-based candidates to service a geographically diverse client base in the U.S. Our ability to respond to client requests faster than the competition is critical for success in our industry as most staffing firms access the same candidate pool via job boards and websites. The combination of our offshore recruiting capabilities, investment in sourcing and recruiting processes, expanded search coverage, around-the-clock sourcing, and extensive candidate pool, gives us the ability to deliver high-quality candidates to our clients in a timely fashion.</w:t>
      </w:r>
    </w:p>
    <w:p>
      <w:pPr>
        <w:spacing w:after="0" w:line="192" w:lineRule="exact"/>
        <w:rPr>
          <w:sz w:val="20"/>
          <w:szCs w:val="20"/>
          <w:color w:val="auto"/>
        </w:rPr>
      </w:pPr>
    </w:p>
    <w:p>
      <w:pPr>
        <w:jc w:val="both"/>
        <w:ind w:left="120" w:right="540" w:firstLine="440"/>
        <w:spacing w:after="0" w:line="286" w:lineRule="auto"/>
        <w:rPr>
          <w:sz w:val="20"/>
          <w:szCs w:val="20"/>
          <w:color w:val="auto"/>
        </w:rPr>
      </w:pPr>
      <w:r>
        <w:rPr>
          <w:rFonts w:ascii="Arial" w:cs="Arial" w:eastAsia="Arial" w:hAnsi="Arial"/>
          <w:sz w:val="17"/>
          <w:szCs w:val="17"/>
          <w:color w:val="auto"/>
        </w:rPr>
        <w:t>We continue to invest in leading technologies and recruitment tools to enhance efficiencies. For example, we use artificial intelligence and web-based tools to expand the reach of our candidate searches. We also employ a state-of-the-art applicant tracking system that has recently been enhanced with proprietary tool-kits and job board / internet interfacing capabilities, resulting in further operational efficiencies.</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2016, we closed our offshore recruitment office in Bangalore, India and concentrated all of our offshore recruitment efforts exclusively in NOIDA, a city near New Delhi. In late 2018, we significantly expanded our offshore recruitment offices in NOIDA which gave us the ability to nearly double our recruiter seats. This facility provides our offshore organization with state-of-the-art infrastructure and workforce amenities to attract top-quality recruiters and sourcers. This centralized offshore facility also affords us the ability to improve operational efficiencies compared to operating two offshore facilities.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have access to a large and differentiated recruiting pool due to our brand recognition with both U.S. citizens and H1-B visa holders in the U.S. Unlike most staffing firms that have a high concentration of either H1-B workers or W-2 hourly U.S. citizens, we have historically maintained a balance of H1-B and W-2 hourly employees. We believe that this balanced mix allows us to access a broader candidate pool than our primary competition.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and Client Focus of our IT Staffing and Digital Transformation Services</w:t>
      </w:r>
    </w:p>
    <w:p>
      <w:pPr>
        <w:spacing w:after="0" w:line="117"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Our staffing delivery teams, spread across the U.S. and India, are segmented 1) by technologies, allowing us to reach deep and wide in our understanding of technology domains; and 2) by client relationships which gives us a keen understanding of our clients’ needs and preferences. The delivery teams work in an integrated manner to provide quality IT talent with a faster turnaround time than many of our competitors. We have long-standing engagements with marquee brands and other premier global enterprises across various industries.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IT Staffing—Digital Technologies</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Recognizing that a new breed of IT professionals adept in digital technologies are in high demand, we enhanced our recruitment capabilities to focus on digital technology skill sets. Today, Mastech Digital provides its clients with the ability to secure skill sets that encompass social, mobile, analytics, cloud-based technologies and automation. IT staffing for digital technologies is growing much faster than mainstream technologies, a trend that is expected to continue into the future. Digital technologies include the following areas:</w:t>
      </w:r>
    </w:p>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00"/>
              <w:spacing w:after="0"/>
              <w:rPr>
                <w:sz w:val="20"/>
                <w:szCs w:val="20"/>
                <w:color w:val="auto"/>
              </w:rPr>
            </w:pPr>
            <w:r>
              <w:rPr>
                <w:rFonts w:ascii="Arial" w:cs="Arial" w:eastAsia="Arial" w:hAnsi="Arial"/>
                <w:sz w:val="18"/>
                <w:szCs w:val="18"/>
                <w:color w:val="auto"/>
              </w:rPr>
              <w:t>Social Analytics</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Data Engineering</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00"/>
              <w:spacing w:after="0"/>
              <w:rPr>
                <w:sz w:val="20"/>
                <w:szCs w:val="20"/>
                <w:color w:val="auto"/>
              </w:rPr>
            </w:pPr>
            <w:r>
              <w:rPr>
                <w:rFonts w:ascii="Arial" w:cs="Arial" w:eastAsia="Arial" w:hAnsi="Arial"/>
                <w:sz w:val="18"/>
                <w:szCs w:val="18"/>
                <w:color w:val="auto"/>
              </w:rPr>
              <w:t>Social Blogging</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Data Analytics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00"/>
              <w:spacing w:after="0"/>
              <w:rPr>
                <w:sz w:val="20"/>
                <w:szCs w:val="20"/>
                <w:color w:val="auto"/>
              </w:rPr>
            </w:pPr>
            <w:r>
              <w:rPr>
                <w:rFonts w:ascii="Arial" w:cs="Arial" w:eastAsia="Arial" w:hAnsi="Arial"/>
                <w:sz w:val="18"/>
                <w:szCs w:val="18"/>
                <w:color w:val="auto"/>
              </w:rPr>
              <w:t>Social Campaign Management</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Data Science</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00"/>
              <w:spacing w:after="0"/>
              <w:rPr>
                <w:sz w:val="20"/>
                <w:szCs w:val="20"/>
                <w:color w:val="auto"/>
              </w:rPr>
            </w:pPr>
            <w:r>
              <w:rPr>
                <w:rFonts w:ascii="Arial" w:cs="Arial" w:eastAsia="Arial" w:hAnsi="Arial"/>
                <w:sz w:val="18"/>
                <w:szCs w:val="18"/>
                <w:color w:val="auto"/>
              </w:rPr>
              <w:t>Enterprise Mobility Strategy</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Cloud Strategy</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00"/>
              <w:spacing w:after="0"/>
              <w:rPr>
                <w:sz w:val="20"/>
                <w:szCs w:val="20"/>
                <w:color w:val="auto"/>
              </w:rPr>
            </w:pPr>
            <w:r>
              <w:rPr>
                <w:rFonts w:ascii="Arial" w:cs="Arial" w:eastAsia="Arial" w:hAnsi="Arial"/>
                <w:sz w:val="18"/>
                <w:szCs w:val="18"/>
                <w:color w:val="auto"/>
              </w:rPr>
              <w:t>Mobile Application Development</w:t>
            </w:r>
          </w:p>
        </w:tc>
        <w:tc>
          <w:tcPr>
            <w:tcW w:w="4200" w:type="dxa"/>
            <w:vAlign w:val="bottom"/>
            <w:gridSpan w:val="2"/>
          </w:tcPr>
          <w:p>
            <w:pPr>
              <w:ind w:left="1400"/>
              <w:spacing w:after="0"/>
              <w:rPr>
                <w:sz w:val="20"/>
                <w:szCs w:val="20"/>
                <w:color w:val="auto"/>
              </w:rPr>
            </w:pPr>
            <w:r>
              <w:rPr>
                <w:rFonts w:ascii="Arial" w:cs="Arial" w:eastAsia="Arial" w:hAnsi="Arial"/>
                <w:sz w:val="18"/>
                <w:szCs w:val="18"/>
                <w:color w:val="auto"/>
                <w:w w:val="94"/>
              </w:rPr>
              <w:t>•  Cloud Implementation and Support</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00"/>
              <w:spacing w:after="0"/>
              <w:rPr>
                <w:sz w:val="20"/>
                <w:szCs w:val="20"/>
                <w:color w:val="auto"/>
              </w:rPr>
            </w:pPr>
            <w:r>
              <w:rPr>
                <w:rFonts w:ascii="Arial" w:cs="Arial" w:eastAsia="Arial" w:hAnsi="Arial"/>
                <w:sz w:val="18"/>
                <w:szCs w:val="18"/>
                <w:color w:val="auto"/>
              </w:rPr>
              <w:t>Artificial Intelligence</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Machine Learning</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IT Staffing—Mainstream Technologies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 large part of our business today comes from IT staffing services around mainstream technologies. We provide services and have strategic relationships in many high-demand mainstream technology areas. Our IT professionals help design, develop, integrate, maintain and support mainstream technologies in the following areas:</w:t>
      </w:r>
    </w:p>
    <w:p>
      <w:pPr>
        <w:spacing w:after="0" w:line="211"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00"/>
              <w:spacing w:after="0"/>
              <w:rPr>
                <w:sz w:val="20"/>
                <w:szCs w:val="20"/>
                <w:color w:val="auto"/>
              </w:rPr>
            </w:pPr>
            <w:r>
              <w:rPr>
                <w:rFonts w:ascii="Arial" w:cs="Arial" w:eastAsia="Arial" w:hAnsi="Arial"/>
                <w:sz w:val="18"/>
                <w:szCs w:val="18"/>
                <w:color w:val="auto"/>
              </w:rPr>
              <w:t>Mainframes</w:t>
            </w:r>
          </w:p>
        </w:tc>
        <w:tc>
          <w:tcPr>
            <w:tcW w:w="1800" w:type="dxa"/>
            <w:vAlign w:val="bottom"/>
          </w:tcPr>
          <w:p>
            <w:pPr>
              <w:ind w:left="1640"/>
              <w:spacing w:after="0"/>
              <w:rPr>
                <w:sz w:val="20"/>
                <w:szCs w:val="20"/>
                <w:color w:val="auto"/>
              </w:rPr>
            </w:pPr>
            <w:r>
              <w:rPr>
                <w:rFonts w:ascii="Arial" w:cs="Arial" w:eastAsia="Arial" w:hAnsi="Arial"/>
                <w:sz w:val="18"/>
                <w:szCs w:val="18"/>
                <w:color w:val="auto"/>
              </w:rPr>
              <w:t>•</w:t>
            </w:r>
          </w:p>
        </w:tc>
        <w:tc>
          <w:tcPr>
            <w:tcW w:w="1980" w:type="dxa"/>
            <w:vAlign w:val="bottom"/>
          </w:tcPr>
          <w:p>
            <w:pPr>
              <w:ind w:left="100"/>
              <w:spacing w:after="0"/>
              <w:rPr>
                <w:sz w:val="20"/>
                <w:szCs w:val="20"/>
                <w:color w:val="auto"/>
              </w:rPr>
            </w:pPr>
            <w:r>
              <w:rPr>
                <w:rFonts w:ascii="Arial" w:cs="Arial" w:eastAsia="Arial" w:hAnsi="Arial"/>
                <w:sz w:val="18"/>
                <w:szCs w:val="18"/>
                <w:color w:val="auto"/>
              </w:rPr>
              <w:t>Open Source (JAVA)</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00"/>
              <w:spacing w:after="0"/>
              <w:rPr>
                <w:sz w:val="20"/>
                <w:szCs w:val="20"/>
                <w:color w:val="auto"/>
              </w:rPr>
            </w:pPr>
            <w:r>
              <w:rPr>
                <w:rFonts w:ascii="Arial" w:cs="Arial" w:eastAsia="Arial" w:hAnsi="Arial"/>
                <w:sz w:val="18"/>
                <w:szCs w:val="18"/>
                <w:color w:val="auto"/>
              </w:rPr>
              <w:t>Databases</w:t>
            </w:r>
          </w:p>
        </w:tc>
        <w:tc>
          <w:tcPr>
            <w:tcW w:w="1800" w:type="dxa"/>
            <w:vAlign w:val="bottom"/>
          </w:tcPr>
          <w:p>
            <w:pPr>
              <w:ind w:left="1640"/>
              <w:spacing w:after="0"/>
              <w:rPr>
                <w:sz w:val="20"/>
                <w:szCs w:val="20"/>
                <w:color w:val="auto"/>
              </w:rPr>
            </w:pPr>
            <w:r>
              <w:rPr>
                <w:rFonts w:ascii="Arial" w:cs="Arial" w:eastAsia="Arial" w:hAnsi="Arial"/>
                <w:sz w:val="18"/>
                <w:szCs w:val="18"/>
                <w:color w:val="auto"/>
              </w:rPr>
              <w:t>•</w:t>
            </w:r>
          </w:p>
        </w:tc>
        <w:tc>
          <w:tcPr>
            <w:tcW w:w="1980" w:type="dxa"/>
            <w:vAlign w:val="bottom"/>
          </w:tcPr>
          <w:p>
            <w:pPr>
              <w:ind w:left="100"/>
              <w:spacing w:after="0"/>
              <w:rPr>
                <w:sz w:val="20"/>
                <w:szCs w:val="20"/>
                <w:color w:val="auto"/>
              </w:rPr>
            </w:pPr>
            <w:r>
              <w:rPr>
                <w:rFonts w:ascii="Arial" w:cs="Arial" w:eastAsia="Arial" w:hAnsi="Arial"/>
                <w:sz w:val="18"/>
                <w:szCs w:val="18"/>
                <w:color w:val="auto"/>
              </w:rPr>
              <w:t>Data Warehousing</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00"/>
              <w:spacing w:after="0"/>
              <w:rPr>
                <w:sz w:val="20"/>
                <w:szCs w:val="20"/>
                <w:color w:val="auto"/>
              </w:rPr>
            </w:pPr>
            <w:r>
              <w:rPr>
                <w:rFonts w:ascii="Arial" w:cs="Arial" w:eastAsia="Arial" w:hAnsi="Arial"/>
                <w:sz w:val="18"/>
                <w:szCs w:val="18"/>
                <w:color w:val="auto"/>
              </w:rPr>
              <w:t>Middleware</w:t>
            </w:r>
          </w:p>
        </w:tc>
        <w:tc>
          <w:tcPr>
            <w:tcW w:w="3780" w:type="dxa"/>
            <w:vAlign w:val="bottom"/>
            <w:gridSpan w:val="2"/>
          </w:tcPr>
          <w:p>
            <w:pPr>
              <w:ind w:left="1640"/>
              <w:spacing w:after="0"/>
              <w:rPr>
                <w:sz w:val="20"/>
                <w:szCs w:val="20"/>
                <w:color w:val="auto"/>
              </w:rPr>
            </w:pPr>
            <w:r>
              <w:rPr>
                <w:rFonts w:ascii="Arial" w:cs="Arial" w:eastAsia="Arial" w:hAnsi="Arial"/>
                <w:sz w:val="18"/>
                <w:szCs w:val="18"/>
                <w:color w:val="auto"/>
                <w:w w:val="97"/>
              </w:rPr>
              <w:t>•  Microsoft (C, .NET, SQL)</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00"/>
              <w:spacing w:after="0"/>
              <w:rPr>
                <w:sz w:val="20"/>
                <w:szCs w:val="20"/>
                <w:color w:val="auto"/>
              </w:rPr>
            </w:pPr>
            <w:r>
              <w:rPr>
                <w:rFonts w:ascii="Arial" w:cs="Arial" w:eastAsia="Arial" w:hAnsi="Arial"/>
                <w:sz w:val="18"/>
                <w:szCs w:val="18"/>
                <w:color w:val="auto"/>
              </w:rPr>
              <w:t>Enterprise Systems</w:t>
            </w:r>
          </w:p>
        </w:tc>
        <w:tc>
          <w:tcPr>
            <w:tcW w:w="1800" w:type="dxa"/>
            <w:vAlign w:val="bottom"/>
          </w:tcPr>
          <w:p>
            <w:pPr>
              <w:ind w:left="1640"/>
              <w:spacing w:after="0"/>
              <w:rPr>
                <w:sz w:val="20"/>
                <w:szCs w:val="20"/>
                <w:color w:val="auto"/>
              </w:rPr>
            </w:pPr>
            <w:r>
              <w:rPr>
                <w:rFonts w:ascii="Arial" w:cs="Arial" w:eastAsia="Arial" w:hAnsi="Arial"/>
                <w:sz w:val="18"/>
                <w:szCs w:val="18"/>
                <w:color w:val="auto"/>
              </w:rPr>
              <w:t>•</w:t>
            </w:r>
          </w:p>
        </w:tc>
        <w:tc>
          <w:tcPr>
            <w:tcW w:w="1980" w:type="dxa"/>
            <w:vAlign w:val="bottom"/>
          </w:tcPr>
          <w:p>
            <w:pPr>
              <w:ind w:left="100"/>
              <w:spacing w:after="0"/>
              <w:rPr>
                <w:sz w:val="20"/>
                <w:szCs w:val="20"/>
                <w:color w:val="auto"/>
              </w:rPr>
            </w:pPr>
            <w:r>
              <w:rPr>
                <w:rFonts w:ascii="Arial" w:cs="Arial" w:eastAsia="Arial" w:hAnsi="Arial"/>
                <w:sz w:val="18"/>
                <w:szCs w:val="18"/>
                <w:color w:val="auto"/>
              </w:rPr>
              <w:t>IT Administration</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  SoA and Web Services</w:t>
            </w:r>
          </w:p>
        </w:tc>
        <w:tc>
          <w:tcPr>
            <w:tcW w:w="3780" w:type="dxa"/>
            <w:vAlign w:val="bottom"/>
            <w:gridSpan w:val="2"/>
          </w:tcPr>
          <w:p>
            <w:pPr>
              <w:ind w:left="1640"/>
              <w:spacing w:after="0"/>
              <w:rPr>
                <w:sz w:val="20"/>
                <w:szCs w:val="20"/>
                <w:color w:val="auto"/>
              </w:rPr>
            </w:pPr>
            <w:r>
              <w:rPr>
                <w:rFonts w:ascii="Arial" w:cs="Arial" w:eastAsia="Arial" w:hAnsi="Arial"/>
                <w:sz w:val="18"/>
                <w:szCs w:val="18"/>
                <w:color w:val="auto"/>
                <w:w w:val="98"/>
              </w:rPr>
              <w:t>•  IT Helpdesk and Support</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tcPr>
          <w:p>
            <w:pPr>
              <w:ind w:left="100"/>
              <w:spacing w:after="0"/>
              <w:rPr>
                <w:sz w:val="20"/>
                <w:szCs w:val="20"/>
                <w:color w:val="auto"/>
              </w:rPr>
            </w:pPr>
            <w:r>
              <w:rPr>
                <w:rFonts w:ascii="Arial" w:cs="Arial" w:eastAsia="Arial" w:hAnsi="Arial"/>
                <w:sz w:val="18"/>
                <w:szCs w:val="18"/>
                <w:color w:val="auto"/>
              </w:rPr>
              <w:t>Verification and Validation</w:t>
            </w:r>
          </w:p>
        </w:tc>
        <w:tc>
          <w:tcPr>
            <w:tcW w:w="1800" w:type="dxa"/>
            <w:vAlign w:val="bottom"/>
          </w:tcPr>
          <w:p>
            <w:pPr>
              <w:ind w:left="1640"/>
              <w:spacing w:after="0"/>
              <w:rPr>
                <w:sz w:val="20"/>
                <w:szCs w:val="20"/>
                <w:color w:val="auto"/>
              </w:rPr>
            </w:pPr>
            <w:r>
              <w:rPr>
                <w:rFonts w:ascii="Arial" w:cs="Arial" w:eastAsia="Arial" w:hAnsi="Arial"/>
                <w:sz w:val="18"/>
                <w:szCs w:val="18"/>
                <w:color w:val="auto"/>
              </w:rPr>
              <w:t>•</w:t>
            </w:r>
          </w:p>
        </w:tc>
        <w:tc>
          <w:tcPr>
            <w:tcW w:w="1980" w:type="dxa"/>
            <w:vAlign w:val="bottom"/>
          </w:tcPr>
          <w:p>
            <w:pPr>
              <w:ind w:left="100"/>
              <w:spacing w:after="0"/>
              <w:rPr>
                <w:sz w:val="20"/>
                <w:szCs w:val="20"/>
                <w:color w:val="auto"/>
              </w:rPr>
            </w:pPr>
            <w:r>
              <w:rPr>
                <w:rFonts w:ascii="Arial" w:cs="Arial" w:eastAsia="Arial" w:hAnsi="Arial"/>
                <w:sz w:val="18"/>
                <w:szCs w:val="18"/>
                <w:color w:val="auto"/>
              </w:rPr>
              <w:t>Business Analysis</w:t>
            </w:r>
          </w:p>
        </w:tc>
      </w:tr>
    </w:tbl>
    <w:p>
      <w:pPr>
        <w:ind w:left="1260" w:hanging="249"/>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Project Management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Digital Learning Services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digital learning practice provides custom training programs for different organizational needs. With rich experience and proven success in handling several learning and performance engagements across industries, Mastech Digital’s team combines digital and physical modes of learning methods to ensure unified organizational behavior and augmented performance across teams. Mastech Digital’s learning paradigm consists of web-based learning, mobile learning, social learning, hybrid learning and virtual learning.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Geographic Presence &amp; Industry Verticals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All of our IT staffing services revenues are generated from services provided in the U.S. We market our services on a national basis and have the ability to provide services in all 50 U.S. States. Our geographical concentration tends to track major client locations, such as California, Texas, Pennsylvania, Virginia and Massachusetts, and in large metropolitan areas such as Chicago, New York City and Washington, D.C.</w:t>
      </w:r>
    </w:p>
    <w:p>
      <w:pPr>
        <w:spacing w:after="0" w:line="16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provide these services across a broad spectrum of industry verticals, including: financial services, government, healthcare, manufacturing, retail, technology, telecommunications and transportation. Below is a breakdown of our IT Staffing billable consultant base by industries that represented at least 5% of our billable consultants as of December 31, 2021:</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Services</w:t>
            </w:r>
          </w:p>
        </w:tc>
        <w:tc>
          <w:tcPr>
            <w:tcW w:w="3060" w:type="dxa"/>
            <w:vAlign w:val="bottom"/>
            <w:shd w:val="clear" w:color="auto" w:fill="CCEEFF"/>
          </w:tcPr>
          <w:p>
            <w:pPr>
              <w:jc w:val="right"/>
              <w:ind w:right="2290"/>
              <w:spacing w:after="0"/>
              <w:rPr>
                <w:sz w:val="20"/>
                <w:szCs w:val="20"/>
                <w:color w:val="auto"/>
              </w:rPr>
            </w:pPr>
            <w:r>
              <w:rPr>
                <w:rFonts w:ascii="Arial" w:cs="Arial" w:eastAsia="Arial" w:hAnsi="Arial"/>
                <w:sz w:val="18"/>
                <w:szCs w:val="18"/>
                <w:color w:val="auto"/>
              </w:rPr>
              <w:t>45%</w:t>
            </w:r>
          </w:p>
        </w:tc>
        <w:tc>
          <w:tcPr>
            <w:tcW w:w="35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Government</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w:t>
            </w:r>
          </w:p>
        </w:tc>
      </w:tr>
      <w:tr>
        <w:trPr>
          <w:trHeight w:val="216"/>
        </w:trPr>
        <w:tc>
          <w:tcPr>
            <w:tcW w:w="186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3060" w:type="dxa"/>
            <w:vAlign w:val="bottom"/>
          </w:tcPr>
          <w:p>
            <w:pPr>
              <w:jc w:val="right"/>
              <w:ind w:right="2290"/>
              <w:spacing w:after="0"/>
              <w:rPr>
                <w:sz w:val="20"/>
                <w:szCs w:val="20"/>
                <w:color w:val="auto"/>
              </w:rPr>
            </w:pPr>
            <w:r>
              <w:rPr>
                <w:rFonts w:ascii="Arial" w:cs="Arial" w:eastAsia="Arial" w:hAnsi="Arial"/>
                <w:sz w:val="18"/>
                <w:szCs w:val="18"/>
                <w:color w:val="auto"/>
              </w:rPr>
              <w:t>17%</w:t>
            </w:r>
          </w:p>
        </w:tc>
        <w:tc>
          <w:tcPr>
            <w:tcW w:w="3540" w:type="dxa"/>
            <w:vAlign w:val="bottom"/>
          </w:tcPr>
          <w:p>
            <w:pPr>
              <w:ind w:left="2380"/>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6%</w:t>
            </w: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Healthcare</w:t>
            </w:r>
          </w:p>
        </w:tc>
        <w:tc>
          <w:tcPr>
            <w:tcW w:w="3060" w:type="dxa"/>
            <w:vAlign w:val="bottom"/>
            <w:shd w:val="clear" w:color="auto" w:fill="CCEEFF"/>
          </w:tcPr>
          <w:p>
            <w:pPr>
              <w:jc w:val="right"/>
              <w:ind w:right="2290"/>
              <w:spacing w:after="0"/>
              <w:rPr>
                <w:sz w:val="20"/>
                <w:szCs w:val="20"/>
                <w:color w:val="auto"/>
              </w:rPr>
            </w:pPr>
            <w:r>
              <w:rPr>
                <w:rFonts w:ascii="Arial" w:cs="Arial" w:eastAsia="Arial" w:hAnsi="Arial"/>
                <w:sz w:val="18"/>
                <w:szCs w:val="18"/>
                <w:color w:val="auto"/>
              </w:rPr>
              <w:t>12%</w:t>
            </w:r>
          </w:p>
        </w:tc>
        <w:tc>
          <w:tcPr>
            <w:tcW w:w="35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Retail</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r>
      <w:tr>
        <w:trPr>
          <w:trHeight w:val="230"/>
        </w:trPr>
        <w:tc>
          <w:tcPr>
            <w:tcW w:w="1860" w:type="dxa"/>
            <w:vAlign w:val="bottom"/>
          </w:tcPr>
          <w:p>
            <w:pPr>
              <w:ind w:left="180"/>
              <w:spacing w:after="0"/>
              <w:rPr>
                <w:sz w:val="20"/>
                <w:szCs w:val="20"/>
                <w:color w:val="auto"/>
              </w:rPr>
            </w:pPr>
            <w:r>
              <w:rPr>
                <w:rFonts w:ascii="Arial" w:cs="Arial" w:eastAsia="Arial" w:hAnsi="Arial"/>
                <w:sz w:val="18"/>
                <w:szCs w:val="18"/>
                <w:color w:val="auto"/>
              </w:rPr>
              <w:t>Telecom</w:t>
            </w:r>
          </w:p>
        </w:tc>
        <w:tc>
          <w:tcPr>
            <w:tcW w:w="3060" w:type="dxa"/>
            <w:vAlign w:val="bottom"/>
          </w:tcPr>
          <w:p>
            <w:pPr>
              <w:jc w:val="right"/>
              <w:ind w:right="2290"/>
              <w:spacing w:after="0"/>
              <w:rPr>
                <w:sz w:val="20"/>
                <w:szCs w:val="20"/>
                <w:color w:val="auto"/>
              </w:rPr>
            </w:pPr>
            <w:r>
              <w:rPr>
                <w:rFonts w:ascii="Arial" w:cs="Arial" w:eastAsia="Arial" w:hAnsi="Arial"/>
                <w:sz w:val="18"/>
                <w:szCs w:val="18"/>
                <w:color w:val="auto"/>
              </w:rPr>
              <w:t>8%</w:t>
            </w:r>
          </w:p>
        </w:tc>
        <w:tc>
          <w:tcPr>
            <w:tcW w:w="354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Mastech Digital,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At December 31, 2021, we had 1,155 North American employees and 508 employees offshore, in addition to 351 subcontracted professionals. None of our employees are subject to collective bargaining agreements governing their employment with our Company. We employ our consultants on both an hourly and salary basis. A large portion of our salaried employees are H1-B visa holders. We enjoy a good reputation within the H1-B visa community, which allows us to access a very broad candidate pool. The majority of our hourly employees are U.S. citizens. On average, we maintain a balanced composition of salaried and hourly employees. We believe that our employee relations are good.</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Intellectual Property Rights</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Our intellectual property consists primarily of proprietary processes; client, employee and candidate information; and proprietary rights of third parties from whom we license intellectual property. We also own proprietary knowledge of the frameworks and products that we have built in our Mastech InfoTrellis business. We rely upon a combination of nondisclosure and other arrangements to protect our intellectual property.</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operations are generally not affected by seasonal fluctuations. However, our consultants’ billable hours are affected by national holidays and vacation trends. Accordingly, we typically have lower utilization rates during the fourth quarter. Additionally, assignment completions tend to be higher near the end of the calendar year, which largely impact our revenue and gross profit performance during the subsequent quarter.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Position</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operate in highly competitive and fragmented industries, with largely low barriers to entry. In our Data and Analytics Services segment, we primarily compete with Cognizant, Tata Consultancy Services, Deloitte, Accenture, as well as with smaller boutique data and analytics firms. Many competitors are significantly larger and have greater financial resources in comparison to us. Our IT Staffing Services segment competes for potential clients with providers of outsourcing services, systems integrators, computer systems consultants, other staffing services firms and, to a lesser extent, temporary personnel agencies.</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believe that the principal competitive factors for securing and building client relationships are driven by the ability to precisely comprehend client requirements and by providing highly qualified personnel who are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86"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motivated to meet or exceed a client’s expectations. We must be able to do this efficiently to provide speed to market with pricing that is competitive and represents value to our clients. The principal competitive factors in attracting qualified personnel are compensation, availability, location and quality of projects and schedule flexibility. We believe that many of the professionals included in our database may also pursue other employment opportunities. Therefore, our responsiveness to the needs of these professionals is an important factor in our ability to be successful.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our strengths compared to industry peers include: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Established client base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client base consists of large, medium-sized and small companies that span across multiple industry verticals. Long-standing relationships with corporate clients, blue-chip IT integrators and MSPs are a core component of our future growth strategy for our staffing business, while good relationships with customer influencers and C-level decision makers drives our Mastech InfoTrellis business. These relationships, exemplified by our consistently low customer attrition rate, reflect our focus and commitment to our customers.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Operational excellence</w:t>
      </w:r>
    </w:p>
    <w:p>
      <w:pPr>
        <w:spacing w:after="0" w:line="11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In our Data and Analytics Services business, our global delivery model is designed to ensure operational excellence by delivering higher value to our customers on project-based Mastech InfoTrellis engagements. Projects are delivered using our proprietary SMART Implementation Methodology— a multi-phased approach based on parts of the Rational Unified Process (RUP) and Agile development methodologies.</w:t>
      </w:r>
    </w:p>
    <w:p>
      <w:pPr>
        <w:spacing w:after="0" w:line="16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the IT Staffing Services business, operational excellence largely relates to a firm’s ability to effectively recruit high quality talent. Our offshore recruitment operation gives us the ability to respond to clients’ staffing needs in a timely and cost-effective manner. Investments in sourcing and recruiting processes and leading technologies and recruitment tools have resulted in a highly scalable offshore recruiting model, which has delivered value to our clients.</w:t>
      </w:r>
    </w:p>
    <w:p>
      <w:pPr>
        <w:spacing w:after="0" w:line="18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Additionally, we employ a human resource management model, featuring portal technology as well as immigration support services, for our widely dispersed consultant base. This model enables us to maintain attrition rates that are lower than the industry averages for our salaried workforce.</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Minority-owned status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businesses benefit with some clients from the fact that we are a large minority-owned staffing firm. We have received multiple awards for our commitment to diversity. We have been certified as a minority-owned business by the National Minority Supplier Development Council (“NMSDC”). This certification is attractive to certain existing and potential clients in the U.S. government and public-sector segments, where project dollars are specifically earmarked for diversity spending.</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Attractive financial profile</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have historically enjoyed a lower operating cost structure than our industry peers due to our low cost telesales in our IT Staffing Services segment and our offshore delivery models in both of our operating segments. These business models are cost-effective and allow us to quickly adjust our cost structure to changes in our business environment. Our blue-chip client base has resulted in high quality accounts receivable and a strong and predictable cash flow conversion metric. Additionally, we have an existing credit facility to support our organic and inorganic growth aspirations.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Expertise in high-demand digital transformation IT skills</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In our Data and Analytics Services segment, we have strong expertise in data management, data engineering, analytics and customer experience consulting – both in North America as well as off-shore. Additionally, we have considerable industry experience by serving some of the world’s most-respected brands in financial services, manufacturing, retail and healthcare.</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our IT Staffing Services segment, we have substantial expertise in certain advanced technology IT skills, including: cloud, mobile, data &amp; analytics, social media, artificial intelligence/machine learning and digital learning. We also have the capacity in both of our business segments to take advantage of our technical expertise in these high demand growth areas, as we are well positioned in terms of scale, capabilities, and a blue-chip client base.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management team</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Business leaders of our Data and Analytics Services business were part of the original thought leaders in the Master Data Management space, which lends significant credibility to this segment’s Master Data service offerings. Today, we are led by an executive team of “business transformation” veterans and data science experts, with a track record of delivering positive business outcomes for clients across industry verticals.</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IT staffing management team is comprised of business leaders with deep industry experience, is a unique blend of executives with significant Mastech Digital experience and others who have held leadership roles in other companies. We believe this talent, together with combined experience across a variety of industries, allows us to capitalize on the positives of our existing business models and, at the same time, improve our service offerings, internal processes and long-term strategy for future growth.</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Reportable Financial Segments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Company has two reportable segments in accordance with Accounting Standards Codification (“ASC”) Topic 280 “Disclosures about Segments of an Enterprise and Related Information”. Refer to Note 18 “Business Segments and Geographic Information” to our Consolidated Financial Statements included in Item 8 herein for information about our two reportable segments.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recruit IT professionals on a global basis from time to time and, therefore, must comply with the immigration laws in the countries in which we operate. As of December 31, 2021, approximately 26% of our workforce was working under Mastech Digital sponsored H1-B temporary work permits. Statutory law limits the number of new H1-B petitions that may be approved in a fiscal year to enter the U.S. Legislation could be enacted limiting H1-B visa holders’ employment with staffing companies. In recent years, the vast majority of our H1-B hires were not subject to the annual quota limiting H1-B visas because they were already in the U.S. under H1-B visa status with other employers. Additionally, the U.S. Congress has recently considered, and may consider in the future, extensive changes to U.S. immigration laws regarding the admission of high-skilled temporary and permanent workers and increases in prevailing wage related to H1-B employees. Such changes, if enacted, may impact the types of H1-B temporary work permits that could be granted, the number of available H1-B temporary work permits, or the required prevailing wage that we are required to pay our H1-B employees, which in turn may have a negative impact on our revenues and profits.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headquarters are located at 1305 Cherrington Parkway, Building 210, Suite 400, Moon Township, Pennsylvania 15108, and our telephone number is (412) 787-2100. The Company’s website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i w:val="1"/>
          <w:iCs w:val="1"/>
          <w:color w:val="auto"/>
        </w:rPr>
        <w:t xml:space="preserve">www.mastechdigital.com. </w:t>
      </w:r>
      <w:r>
        <w:rPr>
          <w:rFonts w:ascii="Arial" w:cs="Arial" w:eastAsia="Arial" w:hAnsi="Arial"/>
          <w:sz w:val="17"/>
          <w:szCs w:val="17"/>
          <w:color w:val="auto"/>
        </w:rPr>
        <w:t>Our annual reports on Form 10-K, quarterly reports on Form 10-Q, current reports on Form 8-K, and other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Commission (the “SEC”) filings, including any amendments to the foregoing reports, are available free of charge by accessing the Investors page of the Company’s website as soon as reasonably practical after such reports are filed with, or furnished to, the SEC.</w:t>
      </w:r>
    </w:p>
    <w:p>
      <w:pPr>
        <w:spacing w:after="0" w:line="31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You should carefully consider each of the following risk factors and all of the other information set forth in this Annual Report on Form 10-K or incorporated by reference herein. Based on the information currently known to us, we believe that the following information identifies the most significant risk factors affecting our company. However, additional risks and uncertainties not currently known to us or that we currently believe to be immaterial may also adversely impact our business.</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i w:val="1"/>
          <w:iCs w:val="1"/>
          <w:color w:val="auto"/>
        </w:rPr>
        <w:t>If any of the following risks and uncertainties develop into actual events, these events could have a material adverse effect on our business, financial condition or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Company’s Business and Operation</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unable to predict the extent to which the global COVID-19 pandemic may adversely impact our business operations, financial performance and results of operations.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COVID-19 pandemic and efforts to control its spread have significantly curtailed the movement of people and goods and services worldwide in regions where we sell our services and conduct our business operations. The pandemic has resulted in a global slowdown of economic activity, including travel restrictions and prohibitions of non-essential activities in some cases. Our revenues and operations were affected by a range of external factors in 2020 and 2021 related to the COVID-19 pandemic. Although we believe the immediate impact of the COVID-19 pandemic has been assessed and largely reflected in our 2021 financial results, the long-term magnitude and duration of the disruption and resulting decline in business activity is still highly uncertain and cannot currently be predicted. While the roll-out of global vaccination programs is an encouraging sign for the future, the COVID-19 variants and efforts to control their spread could still continue to adversely affect our business, impact the demand for our services and alter the way we conduct our business, and we cannot predict the magnitude or duration of these effects.</w:t>
      </w:r>
    </w:p>
    <w:p>
      <w:pPr>
        <w:spacing w:after="0" w:line="16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To the extent the COVID-19 pandemic or the efforts taken to control its spread adversely affects our business and financial results, it may also have the effect of heightening many of the other risks described in this “Risk Factors” section. Because developments concerning the COVID-19 pandemic have been and continue to be constantly evolving, additional impacts and risks may arise that we are not aware of or that we may not be able to appropriately or timely address.</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Lack of success in recruitment and retention of IT and data and analytics professionals may decrease our revenues and increase the costs needed to maintain our workforce.</w:t>
      </w:r>
    </w:p>
    <w:p>
      <w:pPr>
        <w:spacing w:after="0" w:line="6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business involves the delivery of professional services and is labor-intensive. Our success depends upon our ability to attract, develop, motivate and retain highly skilled professionals who possess the skills and experience necessary to deliver our services. Qualified IT and data and analytics professionals are in demand worldwide and are likely to remain a limited resource for the foreseeable future. There can be no assurance that these qualified professionals will be available to us in sufficient numbers, or that we will be successful in retaining current or future employees. Failure to attract and retain qualified professionals in sufficient numbers may have a material adverse effect on our business, operating results and financial condition. Historically, we have done much of our recruiting from outside of the country where the client work is performed. Accordingly, any perception among our IT professionals, whether or not well founded, that our ability to assist them in obtaining temporary work visas and permanent residency status has been diminished, could lead to significant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86"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employee attrition. Any significant employee attrition will increase expenses necessary to replace and retrain our professionals and could decrease our revenues if we are not able to provide sufficient numbers of these resources to our clients.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difficulty maintaining client relationships if the trend towards utilizing Managed Service Providers continues.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Within our IT Staffing Services segment, many large users of staffing services are employing MSP’s to manage their contractor expenses in an effort to drive down overall costs. The general impact of this shift towards the MSP model has been to lower our gross margins. Should this trend towards utilizing the MSP model continue, it is likely that our gross margins will be pressured in the future. In addition, if large users of staffing services continue to employ MSPs, the relationship between us and those large users may be primarily conducted through MSPs, in which case we may have difficulty maintaining those client relationships because the MSP model uses the MSP as an intermediary between the staffing service provider and the end-user, and reduces our direct contact with the end-user.</w:t>
      </w:r>
    </w:p>
    <w:p>
      <w:pPr>
        <w:spacing w:after="0" w:line="30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are dependent upon our Indian operations and there can be no assurance that our Indian operations will support our growth strategy and historical cost structure.</w:t>
      </w:r>
    </w:p>
    <w:p>
      <w:pPr>
        <w:spacing w:after="0" w:line="62"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Indian recruitment and delivery centers depend greatly upon business and technology transfer laws in India, and upon the continued development of technology infrastructure. There can be no assurance that our Indian operations will support our growth strategy. The risks inherent in our Indian business activities include:</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environments;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and other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burden of complying with a wide variety of foreign laws and regulations.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failure to manage growth, attract and retain personnel or a significant interruption in our ability to transmit data and voice efficiently, could have a material adverse impact on our ability to successfully maintain and develop our global recruitment and delivery centers and could have a material adverse effect on our business, operating results and financial condition.</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Indian rupee may increase in value relative to the dollar, increasing our costs. Although, we receive the vast majority of our revenues in U.S. dollars, we maintain a significant portion of our recruiting and delivery workforces in India, and those employees are paid in rupees. Therefore, any increase in the value of the rupee versus the dollar would increase our expenses, which could have a material adverse effect on our business, operating results and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operating results may be subject to significant variations.</w:t>
      </w:r>
    </w:p>
    <w:p>
      <w:pPr>
        <w:spacing w:after="0" w:line="11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Our revenues and operating results have historically been subject to significant variations from quarter to quarter depending on a number of factors, including the timing and number of client projects commenced and completed during the quarter, the number of working days in a quarter, employee hiring and attrition, and utilization rates during the quarter.</w:t>
      </w:r>
    </w:p>
    <w:p>
      <w:pPr>
        <w:spacing w:after="0" w:line="2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multi-year Center of Excellence service offering may be early terminated with a short-notice from the client, which could materially impact our backlog and adversely affect our business and future revenues.</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Data and Analytics Services segment markets a multi-year service offering known as a Center of Excellence. This service provides our clients with a virtual extension of their internal team to assist with their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data and analytics business strategies and objectives. These engagements are generally multi-year and provide added flexibility to the client by adjusting dedicated readily-available and appropriately skilled resources on an as needed basis. While these engagements provide opportunities to partner with and deeply understand a client’s data management and analytics longer-term objectives, these contracts generally can be early terminated by the client with a short-term notice. Should a client terminate an engagement early, this termination could materially impact our backlog of orders and adversely affect our business and future revenues.</w:t>
      </w:r>
    </w:p>
    <w:p>
      <w:pPr>
        <w:spacing w:after="0" w:line="29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acquisition AmberLeaf Partners, Inc. may not provide us with the long-term business advantages that we expected which may result in the slower growth of our business and reduced operating margins.</w:t>
      </w:r>
    </w:p>
    <w:p>
      <w:pPr>
        <w:spacing w:after="0" w:line="62"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Our October 1, 2020 acquisition of AmberLeaf Partners, Inc., and the purchase prices of such acquisitions, were based on a series of long-term assumptions and estimates. There can be no assurance that these long-term expectations will be completely realized and could result in a material adverse effect on our business, operating results and financial condition.</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strategy of expansion through the acquisition of additional companies may not be successful and may result in slower growth of our business and reduced operating margins.</w:t>
      </w:r>
    </w:p>
    <w:p>
      <w:pPr>
        <w:spacing w:after="0" w:line="6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plan to gradually expand our operations through the acquisition of, or investment in, additional businesses and companies. We may be unable to identify businesses that complement our strategy for growth. If we do succeed in identifying a company with such a business, we may not be able to acquire the company, its relevant business or an interest in the company for many reasons, including:</w:t>
      </w:r>
    </w:p>
    <w:p>
      <w:pPr>
        <w:spacing w:after="0" w:line="8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failure to agree on the terms of the acquisition or investment;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incompatibility between us and the management of the company that we wish to acquire or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from other potential acquirers;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lack of capital to make the acquisition or investment;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unwillingness of the company to partner with us.</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we are unable to acquire and invest in attractive businesses, our strategy for growth may be impaired. Even if we are able to complete one or more acquisitions, there can be no assurance that those completed acquisitions will result in successful growth, and the costs of completing an acquisition may reduce our margins.</w:t>
      </w:r>
    </w:p>
    <w:p>
      <w:pPr>
        <w:spacing w:after="0" w:line="292" w:lineRule="exact"/>
        <w:rPr>
          <w:sz w:val="20"/>
          <w:szCs w:val="20"/>
          <w:color w:val="auto"/>
        </w:rPr>
      </w:pPr>
    </w:p>
    <w:p>
      <w:pPr>
        <w:ind w:left="120" w:right="360"/>
        <w:spacing w:after="0" w:line="375" w:lineRule="auto"/>
        <w:rPr>
          <w:sz w:val="20"/>
          <w:szCs w:val="20"/>
          <w:color w:val="auto"/>
        </w:rPr>
      </w:pPr>
      <w:r>
        <w:rPr>
          <w:rFonts w:ascii="Arial" w:cs="Arial" w:eastAsia="Arial" w:hAnsi="Arial"/>
          <w:sz w:val="15"/>
          <w:szCs w:val="15"/>
          <w:b w:val="1"/>
          <w:bCs w:val="1"/>
          <w:i w:val="1"/>
          <w:iCs w:val="1"/>
          <w:color w:val="auto"/>
        </w:rPr>
        <w:t>We have made in the past, and may make in the future, acquisitions which could require significant management attention, disrupt our existing business, result in dilution to our shareholders, deplete our cash reserves, increase our debt levels and adversely affect our financial results.</w:t>
      </w:r>
    </w:p>
    <w:p>
      <w:pPr>
        <w:spacing w:after="0" w:line="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Acquisitions, such as our acquisitions of Hudson IT, the services division of InfoTrellis, Inc., and AmberLeaf Partners, Inc., involve numerous risks, including the possibility that:</w:t>
      </w:r>
    </w:p>
    <w:p>
      <w:pPr>
        <w:spacing w:after="0" w:line="76" w:lineRule="exact"/>
        <w:rPr>
          <w:sz w:val="20"/>
          <w:szCs w:val="20"/>
          <w:color w:val="auto"/>
        </w:rPr>
      </w:pPr>
    </w:p>
    <w:p>
      <w:pPr>
        <w:ind w:left="1080" w:right="4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successfully integrate the operations, systems, technologies, products, offerings and personnel of the acquired company or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do not generate sufficient revenues to offset increased expenses associated with our acquisitions;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management’s attention is diverted from normal daily operations of our business and the challenges with managing larger and more widespread operations resulting from our acquisitions;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experience difficulties entering markets in which we have no or limited direct prior experience and where competitors in such markets have stronger market positions;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lose key employees, customers, distributors, vendors and other business partners of the companies we acquire following and continuing after announcement of acquisition plans.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to the foregoing, acquisitions may also cause us to:</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a substantial portion of our cash reserves or incur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equity securities or grant equity incentives that dilute our current shareholders’ percentage ownership;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 liabilities, including potentially unknown liabilities;</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record goodwill and amortizable intangible assets that are subject to impairment testing on a regular basis and potential periodic impairment charges;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large and immediate write-offs and restructuring and other related expenses;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become subject to intellectual property litigation or other litigation.</w:t>
      </w:r>
    </w:p>
    <w:p>
      <w:pPr>
        <w:spacing w:after="0" w:line="22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Acquisitions of technology companies and assets are inherently risky and subject to many factors outside of our control and no assurance can be given that our recently completed or future acquisitions will be successful and will not materially adversely affect our business, operating results, or financial condition. Failure to manage and successfully integrate acquisitions could materially harm our business and operating results.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revenues are highly concentrated, and the loss of a significant client would adversely affect our business and revenues.</w:t>
      </w:r>
    </w:p>
    <w:p>
      <w:pPr>
        <w:spacing w:after="0" w:line="11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Our revenues are highly dependent on clients located in North America, as well as clients concentrated in certain industries. Economic slowdowns, changes in law and other restrictions or factors that affect the economic health of these industries may affect our business. For the year ended December 31, 2021, approximately 48% of our revenues were derived from our top ten clients. Consequently, if our clients reduce or postpone their spending significantly, this may lower the demand for our services and negatively affect our revenues and profitability. Further, any significant decrease in the rate of economic growth may reduce the demand for our services and negatively affect our revenues and profitability.</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in the past, and may in the future, derive a significant portion of our revenues from a relatively limited number of clients. These contracts are terminable without penalty, as are most of our contracts. The loss of any significant client or major project, or an unanticipated termination of a major project, could result in the loss of substantial anticipated revenues.</w:t>
      </w:r>
    </w:p>
    <w:p>
      <w:pPr>
        <w:spacing w:after="0" w:line="2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Our leverage could materially and adversely affect our financial condition or operating flexibility and prevent us from fulfilling our obligations under our Credit Agreement.</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At December 31, 2021, we had outstanding borrowings of $13.1 million under our Credit Agreement with PNC Bank and certain other financial institution lenders (the “Credit Agreement”), which amount consists of $13.1 million of outstanding borrowings under the term loan and no outstanding borrowings under the revolving credit facility. Our level of indebtedness could have important consequences on our future operations, including the following:</w:t>
      </w:r>
    </w:p>
    <w:p>
      <w:pPr>
        <w:spacing w:after="0" w:line="9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increasing the risk that we cannot satisfy our payment or other obligations under our outstanding debt, which may result in defaults;</w:t>
      </w:r>
    </w:p>
    <w:p>
      <w:pPr>
        <w:spacing w:after="0" w:line="142" w:lineRule="exact"/>
        <w:rPr>
          <w:rFonts w:ascii="Arial" w:cs="Arial" w:eastAsia="Arial" w:hAnsi="Arial"/>
          <w:sz w:val="17"/>
          <w:szCs w:val="17"/>
          <w:color w:val="auto"/>
        </w:rPr>
      </w:pPr>
    </w:p>
    <w:p>
      <w:pPr>
        <w:ind w:left="1080" w:right="6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subjecting us to increased sensitivity to interest rate increases on our outstanding indebtedness, which could cause our debt service obligations to increase significantly;</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general economic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competitive disadvantage to our competitors that have less debt or are less leveraged;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the impact of adverse economic and industry conditions.</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addition, we may incur additional indebtedness in the future and, if we incur new debt or other liabilities, the related risks that we face could intensify.</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ability to make required payments or to refinance our indebtedness depends on our future performance, which will be affected by financial, business and economic conditions and other factors, many of which are not within our control. 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the terms of existing or future debt agreements and other factors may restrict us from pursuing any of these alternatives.</w:t>
      </w:r>
    </w:p>
    <w:p>
      <w:pPr>
        <w:spacing w:after="0" w:line="16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If we are in default under our Credit Agreement due to our inability to make the required payments, or if we otherwise fail to comply with the financial and other covenants contained therein, all of our debt thereunder could be accelerated and the lenders under our Credit Agreement could be permitted to foreclose on our assets securing such debt.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covenants in our Credit Agreement impose restrictions that may limit our operating and financial flexibility.</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Credit Agreement contains financial covenants, including but not limited to, covenants related to the Company’s senior leverage ratio and fixed charge ratio (as defined under the Credit Agreement), and limitations on liens, indebtedness, guarantees and contingent liabilities, loans and investments, distributions, leases, asset sales, stock repurchases and mergers and acquisitions. These covenants and limitations may limit our ability to, among other things:</w:t>
      </w:r>
    </w:p>
    <w:p>
      <w:pPr>
        <w:spacing w:after="0" w:line="92"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incur or assume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 and loans;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incur, assume or guarantee additional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mergers, acquisitions, consolidations, sale-leasebacks and other similar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redeem or repurchase our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 the business that we conduct;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certain transactions with officers, directors and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prepay, redeem or purchase other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certain agreements;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material changes to accounting and reporting practices.</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Operating results below current levels or other adverse factors, including increases in interest rates, could result in us being unable to comply with certain covenants contained in our Credit Agreement. If we violate these covenants and are unable to obtain waivers, our debt under the Credit Agreement would be in default, could be accelerated and could permit our lenders to foreclose on our assets securing the debt thereunder. If the indebtedness is accelerated, we may not be able to repay our debt or borrow sufficient funds to refinance it. Even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8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we are able to obtain new financing, it may not be on commercially reasonable terms or on terms that are acceptable to us. If our debt is in default for any reason, our cash flows, operating results,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29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must keep pace with the rapid technological changes that characterize the IT and data and analytics industries and our failure to do so could result in lower demand for services.</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IT staffing and data analytics services industries are characterized by rapid technological change, evolving industry standards, changing client preferences and new product introductions. Our success will depend in part on our ability to keep pace with industry developments. There can be no assurance that we will be successful in addressing these developments on a timely basis or that, if these developments are addressed, we will be successful in the marketplace. In addition, there can be no assurance that products or technologies developed by others will not render our services noncompetitive or obsolete. Our failure to address these developments could have a material adverse effect on our business, operating results and financial condition.</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 significant number of organizations are attempting to migrate their IT business applications to advanced technologies, such as cloud services, data scientists, mobility, and social analytics. As a result, our ability to remain competitive depends on several factors, including our ability to develop, train and hire employees with skills in advanced technologies. Our failure to hire, train and retain employees with such skills could have a material adverse impact on our future revenues.</w:t>
      </w:r>
    </w:p>
    <w:p>
      <w:pPr>
        <w:spacing w:after="0" w:line="295" w:lineRule="exact"/>
        <w:rPr>
          <w:sz w:val="20"/>
          <w:szCs w:val="20"/>
          <w:color w:val="auto"/>
        </w:rPr>
      </w:pPr>
    </w:p>
    <w:p>
      <w:pPr>
        <w:ind w:left="120" w:right="380"/>
        <w:spacing w:after="0" w:line="375" w:lineRule="auto"/>
        <w:rPr>
          <w:sz w:val="20"/>
          <w:szCs w:val="20"/>
          <w:color w:val="auto"/>
        </w:rPr>
      </w:pPr>
      <w:r>
        <w:rPr>
          <w:rFonts w:ascii="Arial" w:cs="Arial" w:eastAsia="Arial" w:hAnsi="Arial"/>
          <w:sz w:val="15"/>
          <w:szCs w:val="15"/>
          <w:b w:val="1"/>
          <w:bCs w:val="1"/>
          <w:i w:val="1"/>
          <w:iCs w:val="1"/>
          <w:color w:val="auto"/>
        </w:rPr>
        <w:t>Our “preferred vendor” contracts generally result in lower margins. In addition, we may not be able to maintain “preferred vendor” status with existing clients or obtain that status with new clients, which may lead to a decrease in the volume of business we obtain from these clients.</w:t>
      </w:r>
    </w:p>
    <w:p>
      <w:pPr>
        <w:spacing w:after="0" w:line="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our IT Staffing Services segment, we are party to several “preferred vendor” contracts, and we are seeking additional similar contracts in order to obtain new or additional business from large and medium-sized clients. Clients enter into these contracts to reduce their number of vendors and obtain better pricing in return for a potential increase in the volume of business to the preferred vendor. While these contracts are expected to generate higher volumes, they generally carry lower margins. Although we attempt to lower costs to maintain margins, there can be no assurance that we will be able to sustain margins on such contracts. In addition, the failure to be designated as a preferred vendor, or the loss of such status, may preclude us from providing services to existing or potential clients, except as a subcontractor, which could have a material adverse effect on the volume of business obtained from such clients.</w:t>
      </w:r>
    </w:p>
    <w:p>
      <w:pPr>
        <w:spacing w:after="0" w:line="30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Our success depends upon the maintenance and protection of our intellectual property rights and processes, and any substantial costs incurred protecting such rights and processes may decrease our operating margins.</w:t>
      </w:r>
    </w:p>
    <w:p>
      <w:pPr>
        <w:spacing w:after="0" w:line="6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success depends in part upon certain methodologies and tools we use in designing, developing and implementing application systems and other proprietary intellectual property rights. We rely upon a combination of nondisclosure and other contractual arrangements and trade secrets, copyright and trademark laws to protect our proprietary rights and the proprietary rights of third parties from whom we license intellectual property. We enter into confidentiality agreements with our employees and limit distribution of proprietary information. There can be no assurance that the steps we take in this regard will be adequate to deter misappropriation of proprietary information or that we will be able to detect unauthorized use and take appropriate steps to enforce our intellectual property rights. In the event of an unfavorable resolution of a dispute over our intellectual property rights, we may incur substantial costs or liabilities, which would decrease our operating margins.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business is certified as a minority-owned business, and loss of that certification may impact our ability to gain new customers or expand our business with existing customers.</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are a large minority-owned staffing and data analytics services firm and have been certified as minority-owned by the National Minority Supplier Development Council (the “NMSDC”). NMSDC certification has helped us to expand our business with existing clients as well as obtain new customers. While we cannot quantify the effect of the loss of this status, its loss could adversely affect our ability to expand our business or cause us to lose existing business.</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Because the NMSDC certification relies in large part upon Messrs. Wadhwani and Trivedi maintaining their positions as the collective majority holders of our common stock, any decrease in their collective ownership may jeopardize our status as a minority-owned business. There can be no assurance that Messrs. Wadhwani and Trivedi will maintain their majority position in the Company.</w:t>
      </w:r>
    </w:p>
    <w:p>
      <w:pPr>
        <w:spacing w:after="0" w:line="2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Existing and potential customers may consider outsourcing their IT requirements to foreign countries, which could have an adverse effect on our ability to obtain new customers or retain existing customers.</w:t>
      </w:r>
    </w:p>
    <w:p>
      <w:pPr>
        <w:spacing w:after="0" w:line="62"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In the past years, more companies started to use low-cost offshore outsourcing centers to perform technology-related work. Should this shift towards moving technology-related work to offshore outsourcing centers continue, our business, operating results and financial condition could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liability to clients arising from our engagements.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Many of our engagements involve projects that are critical to the operations of our clients’ businesses and provide benefits that may be difficult to quantify. Although we attempt to contractually limit our liability for damages arising from errors, mistakes, omissions or negligent acts in rendering our services, there can be no assurance that our attempts to limit liability will be successful. Our failure or inability to meet a client’s expectations in the performance of our services could result in a material adverse change to the client’s operations and, therefore, could give rise to claims against us or damage our reputation, adversely affecting our business, operating results and financial condition.</w:t>
      </w:r>
    </w:p>
    <w:p>
      <w:pPr>
        <w:spacing w:after="0" w:line="284"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 and on our networks. The secure processing, maintenance and transmission of this information is critical to our operations and business strategy. In response to the pandemic, our move to a work-from-home business model may heighten risks of security breaches.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regulatory penalties, disrupt our operations and the services we provide to customers, and damage our reputation, and cause a loss of confidence in our services, which could adversely affect our operating results and competitive position. We maintain cyber risk insurance, but this insurance may not be sufficient to cover all of our losses from any breaches of our networks.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depend on the proper functioning of our information systems.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are dependent on the proper functioning of information systems in operating our business. Critical information systems are used in every aspect of our daily operations, perhaps most significantly, in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identification and matching of staffing resources to client assignments and in the client billing and consultant or vendor payment functions. Our information systems may not perform as expected and are vulnerable to damage or interruption including natural disasters, fire or casualty theft, technical failures, terrorist acts, cybersecurity breaches, power outages, telecommunications failures, physical or software intrusions, computer viruses, employee errors or other events. Failure or interruption of our critical information systems may require significant additional capital and management resources to resolve, which could have a material adverse effect on our business. Additionally, many of our information technology systems and networks are cloud-based or managed by third parties, whose future performance and reliability we cannot control. The risk of a cyber-attack or security breach on a third party carries the same risks to us as those associated with our internal systems. There can be no assurance that such parties will not experience cybersecurity breaches that could adversely affect our employees, customers and businesses or that our audit or diligence processes will successfully deter or prevent such breach.</w:t>
      </w:r>
    </w:p>
    <w:p>
      <w:pPr>
        <w:spacing w:after="0" w:line="28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our clients are subjected to cyber-attacks or data security breaches, it may result in damage to our business and the disclosure of our confidential information.</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addition to cybersecurity threats posed directly against us, our clients’ information systems are also vulnerable to an increasing threat of continually evolving cybersecurity risks. There is no guarantee that our clients have implemented procedures that are adequate to safeguard against all data security breaches. The failure of our clients to adequately safeguard against data security breaches could have a material adverse effect on our business and operations. The theft and/or breach of our clients’ data security could cause the disclosure and/or loss of our confidential information and data and result in significant costs. In addition, any cybersecurity damage to the networks or computer systems used by us or our clients could result in a claim for substantial damages against us and significant reputational harm, regardless of our responsibility for the failure.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our insurance costs increase significantly, these incremental costs could negatively affect our financial results.</w:t>
      </w:r>
    </w:p>
    <w:p>
      <w:pPr>
        <w:spacing w:after="0" w:line="117"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We purchase various insurance policies to limit or transfer certain risks inherent in our operations. These costs largely relate to obtaining and maintaining professional and general liability insurance policies. If the costs of carrying these insurance policies increase significantly, due to poor claims history or changes in market conditions, this could have an adverse impact on our profitability and financial condition.</w:t>
      </w:r>
    </w:p>
    <w:p>
      <w:pPr>
        <w:spacing w:after="0" w:line="25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Any disruption in the supply of power, IT infrastructure and telecommunications lines to our facilities could disrupt our business process or subject us to additional costs.</w:t>
      </w:r>
    </w:p>
    <w:p>
      <w:pPr>
        <w:spacing w:after="0" w:line="6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Any disruption in basic infrastructure, including the supply of power, could negatively impact our ability to provide timely or adequate services to our clients. We rely on a number of telecommunication services and other infrastructure providers to maintain communications between our various facilities and clients. Telecommunications networks are subject to failures and periods of service disruption which can adversely affect our ability to maintain active voice and data communications among our facilities and with our clients. This could disrupt our business process or subject us to additional costs, materially adversely affecting our business, results of operations and financial condition.</w:t>
      </w:r>
    </w:p>
    <w:p>
      <w:pPr>
        <w:spacing w:after="0" w:line="2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6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Should we experience a disaster or other business continuity problem, such as an earthquake, hurricane, terrorist attack, pandemic, security breach, power loss, telecommunications failure or other natural or man-made disaster, our continued success will depend, in part, on the availability of our personnel, our office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facilities, and the proper functioning of our computer, telecommunication and other related systems and operations. In such an event, we could experience near-term operational challenges with regard to particular areas of our operations. In particular, our ability to recover from any disaster, pandemic or other business continuity problem will depend on our ability to protect our technology infrastructure against damage from business continuity events that could have a significant disruptive effect on our operations. We could potentially lose client data or experience material adverse interruptions to our operations or delivery of services to our clients in a disaster. A disaster or pandemic, on a significant scale or affecting certain of our key operating areas within or across regions, or our inability to successfully recover should we experience a disaster, pandemic or other business continuity problem, could materially interrupt our business operations and cause material financial loss, loss of human capital, regulatory actions, reputational harm, damaged client relationships or legal liability. For example, the COVID-19 pandemic and governmental actions taken to curtail the spread of the virus during 2020 and 2021 had a material impact on our employees, customers and third-party providers and impacted the level of economic activity. Any such disaster or other business continuity problem could have a material adverse impact on our revenues and profitability.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posed by climate change may materially increase our compliance costs and adversely impact our profitability.</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Climate change vulnerability is posing new threats and opportunities in the global economy. Climate change and measures adopted to address it can affect us, our clients and suppliers in myriad ways, depending on the nature and location of the businesses, the near-term capital expenditure needs, the regulatory environments where they operate and their strategic plans. Generally, climate risks and opportunities for companies and their investors fall into four categories:</w:t>
      </w:r>
    </w:p>
    <w:p>
      <w:pPr>
        <w:spacing w:after="0" w:line="92"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Physical risk from climate 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risks and opportunities related to existing or proposed greenhouse gas (“GHG”) emissions limits;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Indirect regulatory risks and opportunities related to products or services from high emitting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risks for emitters of greenhouse gases.</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Unmitigated climate change is likely to have severe physical impacts on companies with exposed assets or business operations, including Mastech Digital. Major environmental risks and liabilities can significantly impact future earnings. To the extent we are unable to comply with applicable regulations related to climate change, and such failure to comply results in material increases in compliance costs or litigation expenses, those costs or expenses will have an adverse effect on our profitability.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success depends upon retaining the services of its management team and key operating employees.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highly dependent on our management team and expect that continued success will depend largely upon their efforts, expertise and abilities. The loss of the services of any key executive for any reason could have a material adverse effect on our business. To attract and retain executives and other key employees in a competitive marketplace, we must provide a competitive compensation package, including cash-based and equity-based compensation. The loss or any sustained attrition of our key operating employees could have a material adverse effect on our business, including our ability to establish and maintain client, consultant and candidate, professional and technical relationships.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Governmental Regulations, Laws and Taxation</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Government regulation of H1-B visas may materially affect our workforce and limit our supply of qualified IT professionals, or increase our cost of securing workers.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recruit IT professionals on a global basis and, therefore, must comply with the immigration laws in the countries in which we operate, particularly the U.S. As of December 31, 2021, approximately 26% of our workforce was working under Mastech Digital sponsored H1-B temporary work permits. Statutory law limits the number of new H1-B petitions that may be approved in a fiscal year, and if we are unable to obtain H1-B visas for our employees in sufficient quantities or at a sufficient rate for a significant period of time, our business, operating results and financial condition could be adversely affected. Additionally, legislation could be enacted limiting H1-B visa holders’ employment with staffing and data analytics companies, which could result in reduced revenues and/or a higher cost of recruiting.</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recent years, the vast majority of our H1-B hires were not subject to the annual quota limiting H1-B visas because they were already in the U.S. under H1-B visa status with other employers. As a result, the negative impact on recruiting due to the exhaustion of recent H1-B quotas was not substantial. However, the subject of H1-B visas has recently become a major political discussion point and there are indications that the entire H1-B visa program may be significantly overhauled. If a new or revised H1-B visa program is implemented, there could be elements of the new/revised H1-B visa program that may not be advantageous to our business model thus adversely impacting our business, operating results or financial condition.</w:t>
      </w:r>
    </w:p>
    <w:p>
      <w:pPr>
        <w:spacing w:after="0" w:line="26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Reclassification of our independent contractors by tax or regulatory authorities could have a material adverse effect on our business model and/or could require us to pay significant retroactive wages, taxes and penalties.</w:t>
      </w:r>
    </w:p>
    <w:p>
      <w:pPr>
        <w:spacing w:after="0" w:line="62"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We utilize individuals to provide certain services in connection with our business as qualified third-party independent contractors rather than as direct employees. Heightened state and federal scrutiny of independent contractor relationships could adversely affect us given that we utilize independent contractors to perform certain services. An adverse determination related to the independent contractor status of these subcontracted personnel could result in substantial taxes or other liabilities to us, which could result in a material adverse effect upon our business.</w:t>
      </w:r>
    </w:p>
    <w:p>
      <w:pPr>
        <w:spacing w:after="0" w:line="2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Restrictions on immigration or unjustified or discriminatory enforcement of immigration laws could increase our cost of doing business, cause us to change the way we conduct our business or otherwise disrupt our operations.</w:t>
      </w:r>
    </w:p>
    <w:p>
      <w:pPr>
        <w:spacing w:after="0" w:line="6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success of our business is dependent on our ability to recruit IT and data and analytics professionals and to mobilize them to meet our clients’ needs. Immigration laws in the countries in which we operate are subject to legislative changes, as 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 visas for our professionals.</w:t>
      </w:r>
    </w:p>
    <w:p>
      <w:pPr>
        <w:spacing w:after="0" w:line="17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Immigration change continues to attract significant attention in the public arena and in the current U.S. administration and Congress. If new immigration legislation is enacted in the U.S. or in the other jurisdictions in which we do business, such legislation may contain provisions that could make it more difficult or costly for us to recruit and retain IT professionals, and to a lesser extent data and analytics professionals. Additionally, there is uncertainty as to the position the U.S. will take with respect to immigration under the Biden administration or any new administration. As a result, we may incur additional costs to run our business or may have to change the way we conduct our operations, either of which could have a material adverse effect on our business, operating results and financial condition. Also, if the enforcement of immigration laws by governmental authorities is unjustified or discriminatory, such enforcement could have the effect of disrupting our workforce.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U.S. Congress and Biden administration may make substantial changes to fiscal, tax, and other federal policies that may adversely affect our business.</w:t>
      </w:r>
    </w:p>
    <w:p>
      <w:pPr>
        <w:spacing w:after="0" w:line="6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2017,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have occurred and further U.S. policy changes are possible, if not likely. Changes to U.S. policy implemented by the U.S. Congress or the Biden administration may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and how those changes impact our business and the business of our competitors over the long term, we will not know if, overall, we will benefit from them or be negatively affected by them.</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Adverse results in tax audits or interpretations of tax laws could have an adverse impact on our business.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are subject to periodic federal, state and local tax audits for various tax years. We also need to comply with new, evolving or revised tax laws and regulations. The Tax Cuts and Jobs Act of 2017 continues to require interpretation, and the Biden administration has indicated that it intends to modify key aspects of the tax code, which could materially affect our tax obligations and effective tax rate. Although we attempt to comply with all taxing authority regulations, adverse findings or assessments made by taxing authorities as the result of an audit could have a material adverse effect on our business, results of operations and financial condition.</w:t>
      </w:r>
    </w:p>
    <w:p>
      <w:pPr>
        <w:spacing w:after="0" w:line="296"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Requirements of the Affordable Care Act may continue to increase our employee benefits costs and could negatively affect our operating results, cash flows and financial condition if such costs aren’t recovered with increases in client bill rates.</w:t>
      </w:r>
    </w:p>
    <w:p>
      <w:pPr>
        <w:spacing w:after="0" w:line="6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provide healthcare coverage to our U.S.-based employees that are subject to the Affordable Care Act (“ACA”). Additional provisions of the ACA and the compliance of such may result in higher overall costs to the Company, which could have a negative impact on our operating results, cash flows and financial condition</w:t>
      </w:r>
      <w:r>
        <w:rPr>
          <w:rFonts w:ascii="Arial" w:cs="Arial" w:eastAsia="Arial" w:hAnsi="Arial"/>
          <w:sz w:val="18"/>
          <w:szCs w:val="18"/>
          <w:i w:val="1"/>
          <w:iCs w:val="1"/>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Economic and Financial Conditions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application of these principles require us to make estimates and assumptions about certain items and future events that may affect our reported financial statements and our accompanying disclosure with respect to, among other things, revenue recognition, purchase accounting fair value measurements, contingent consideration and taxation related items. We base our estimates on historical experience and on various other assumptions that we believe are reasonable at the time they are made. These estimates and assumptions involve the use of judgment and can be subject to uncertainties, some of which are beyond our control. If our estimates or the assumptions underlying such estimates are incorrect, actual results may differ materially from our estimates and we may need to, among other things, revise revenues or recognize additional charges that could adversely impact our results of operations and our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Negative economic conditions in North America may adversely affect demand for our services.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Approximately 99% of our revenues are generated from clients located in North America. Our business depends on the overall demand for IT and data and analytics professionals and on the economic health of our clients. Weak economic conditions may force companies to reduce their IT staffing and data and analytics budgets and adversely affect demand for our services, thus reducing our revenues.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industries are highly competitive and fragmented, which may limit our ability to increase our prices for services.</w:t>
      </w:r>
    </w:p>
    <w:p>
      <w:pPr>
        <w:spacing w:after="0" w:line="11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The IT staffing services and data analytics services industries are highly competitive and served by numerous global, national, regional and local firms. Primary competitors include participants from a variety of market segments, including the major consulting firms, systems consulting and implementation firms, U.S.-based staffing services companies, data and analytics service companies, applications software firms, service groups of computer equipment companies, specialized consulting firms, programming companies and temporary staffing firms. Many of these competitors have substantially greater financial, technical and marketing resources and greater name recognition than we have. There are relatively few barriers to entry into many of our markets, and as such we may face additional competition from new entrants into our markets. In addition, there is a risk that clients may elect to increase their internal resources to satisfy their staffing and data and analytics needs. There can be no assurance that we will compete successfully with existing or new competitors in the staffing and data analytics services markets.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Regional conflicts in South Asia could adversely affect the Indian economy, disrupt our operations and cause our business to suffer.</w:t>
      </w:r>
    </w:p>
    <w:p>
      <w:pPr>
        <w:spacing w:after="0" w:line="1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South Asia has, from time to time, experienced instances of civil unrest and hostilities among neighboring countries, such as between India and Pakistan, India and China, and even within India. There have been military confrontations along the India-Pakistan and India-China borders from time to time. The potential for hostilities between India and Pakistan is high due to past terrorist incidents in India, troop mobilizations along the border, and the geopolitical situation in the region. Military activity or terrorist attacks in the future could influence the Indian economy by disrupting communications and making travel more difficult. This, in turn, could have a material adverse effect on our business, operating results and financial condition.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Wage costs in India may increase, which may reduce our operating margins and reduce a competitive advantage of ours.</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Our wage costs in India have historically been significantly lower than wage costs in the U.S. for comparably skilled professionals, and this has been one of our competitive advantages with respect to the costs of our Indian recruiting and delivery offices. However, wage increases in India may prevent us from sustaining this competitive advantage and may negatively affect our operating margins. We may need to increase the levels of our employee compensation more rapidly than in the past to retain talent. Unless we are able to continue to increase the efficiency and productivity of our employees, wage increases in the long term may reduce our overall margins.</w:t>
      </w:r>
    </w:p>
    <w:p>
      <w:pPr>
        <w:spacing w:after="0" w:line="29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Negative economic or business conditions brought on by a global health pandemic, epidemic or outbreak may adversely affect demand for our services.</w:t>
      </w:r>
    </w:p>
    <w:p>
      <w:pPr>
        <w:spacing w:after="0" w:line="6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business depends on the overall demand for IT and data and analytics professionals and on the economic health of our clients. Our business could be adversely affected by the effects of the COVID-19 virus or another pandemic, epidemic or outbreak on the economic and business climate. For example, the spread of the COVID-19 virus and the efforts taken to control its spread may cause companies to reduce their staffing and data and analytics budgets and adversely affect demand for our services, thus reducing our revenues. Furthermore, the impact of the COVID-19 virus outbreak and the actions taken to curtail the spread of the virus could disrupt or materially impair the ability of our clients to operate their businesses. Any such disruption or impairment could lower the demand for our services, result in collection issues on our outstanding accounts receivable and have a material adverse impact on our revenues and profitability.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our clients are adversely affected by climate change or related compliance costs, this may reduce their spending and demand for our services, leading to a decrease in revenue.</w:t>
      </w:r>
    </w:p>
    <w:p>
      <w:pPr>
        <w:spacing w:after="0" w:line="6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addition to emissions and climate change risks posed directly to Mastech Digital, we also have clients in varied industries such as healthcare, consumer products, manufacturing, technology, and retail, among others. Some of the clients may be significantly affected by climate change resulting in greater physical risk. This may lead to a reduction of demand and loss of business from such clients, which would impact our business, results of operations and financial condition.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 and your investment may decline in value.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market price of our common stock may be highly volatile and may fluctuate substantially due to many factors, including:</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conditions and trends in the end markets we serve, and changes in the estimation of the size and growth rate of these markets;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integrate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significant contracts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restatements of historical financial results and changes in financial forecasts;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one or more of our significant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market valuation or earnings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trading of our common stock on multiple trading markets, which takes place in different currencies and at different times;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ownership is highly concentrated in two individuals and the interests of those individual shareholders may not coincide with yours.</w:t>
      </w:r>
    </w:p>
    <w:p>
      <w:pPr>
        <w:spacing w:after="0" w:line="1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Sunil Wadhwani and Ashok Trivedi, co-founders of the Company, beneficially own approximate 60% of Mastech Digital’s outstanding common stock. Accordingly, Messrs. Wadhwani and Trivedi together have sufficient voting power to elect all the members of the Board of Directors and to effect transactions without the approval of our other shareholders, except for those limited transactions that require a supermajority vote under our bylaws or articles of incorporation. The interests of Messrs. Wadhwani and Trivedi may from time to time diverge from our interests. Mastech Digital’s Audit Committee consists of independent directors and addresses certain potential conflicts of interest and related party transactions that may arise between us and our directors, officers or our other affiliates. However, there can be no assurance that any conflicts of interest will be resolved in our favor.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results of operations and share price could be adversely affected if we are unable to maintain effective internal controls.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Internal controls related to the operation of our business are critical to our ability to provide accurate financial statements and an appropriate internal control environment. We are required to provide a report from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86"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management on our internal controls over financial reporting that includes an assessment of the effectiveness of these controls. Internal control over financial reporting has inherent limitations, including human error, the possibility that controls could be circumvented or become inadequate because of changing conditions. Because of these limitations, internal control over financial reporting might not prevent or detect all misstatements or fraud. Also, while the Company remediated over the course of the 2021 fiscal year two material weaknesses identified in 2020, the completion of this remediation does not provide assurance that the Company’s remediation or other controls will continue to operate properly. Furthermore, management’s report on the Company’s internal controls over financial reporting was not subject to attestation by the Company’s independent registered public accounting firm pursuant to rules of the SEC that permit the Company to provide only management’s report in this Annual Report on Form 10-K. If we cannot maintain and execute adequate internal control over financial reporting or implement necessary new or improved controls that provide reasonable assurance of the reliability of our financial reporting and preparation of our financial statements for external use, we could suffer harm of our reputation, fail to meet our public reporting requirements on a timely basis, be unable to properly report our financial results, or be required to restate our financial statements, which could result in the loss of investor confidence and may adversely impact our stock price.</w:t>
      </w:r>
    </w:p>
    <w:p>
      <w:pPr>
        <w:spacing w:after="0" w:line="31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the principal properties leased by us and our subsidiaries as of December 31, 2021 is set forth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Occupying Business</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4"/>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2960" w:type="dxa"/>
            <w:vAlign w:val="bottom"/>
            <w:vMerge w:val="restart"/>
          </w:tcPr>
          <w:p>
            <w:pPr>
              <w:spacing w:after="0"/>
              <w:rPr>
                <w:sz w:val="12"/>
                <w:szCs w:val="12"/>
                <w:color w:val="auto"/>
              </w:rPr>
            </w:pPr>
          </w:p>
        </w:tc>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Use</w:t>
            </w:r>
          </w:p>
        </w:tc>
        <w:tc>
          <w:tcPr>
            <w:tcW w:w="2080" w:type="dxa"/>
            <w:vAlign w:val="bottom"/>
            <w:gridSpan w:val="2"/>
            <w:vMerge w:val="continue"/>
          </w:tcPr>
          <w:p>
            <w:pPr>
              <w:spacing w:after="0"/>
              <w:rPr>
                <w:sz w:val="12"/>
                <w:szCs w:val="12"/>
                <w:color w:val="auto"/>
              </w:rPr>
            </w:pPr>
          </w:p>
        </w:tc>
        <w:tc>
          <w:tcPr>
            <w:tcW w:w="15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2"/>
              </w:rPr>
              <w:t>Square</w:t>
            </w:r>
          </w:p>
        </w:tc>
        <w:tc>
          <w:tcPr>
            <w:tcW w:w="0" w:type="dxa"/>
            <w:vAlign w:val="bottom"/>
          </w:tcPr>
          <w:p>
            <w:pPr>
              <w:spacing w:after="0"/>
              <w:rPr>
                <w:sz w:val="1"/>
                <w:szCs w:val="1"/>
                <w:color w:val="auto"/>
              </w:rPr>
            </w:pPr>
          </w:p>
        </w:tc>
      </w:tr>
      <w:tr>
        <w:trPr>
          <w:trHeight w:val="182"/>
        </w:trPr>
        <w:tc>
          <w:tcPr>
            <w:tcW w:w="540" w:type="dxa"/>
            <w:vAlign w:val="bottom"/>
            <w:tcBorders>
              <w:bottom w:val="single" w:sz="8" w:color="auto"/>
            </w:tcBorders>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Segment</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Footage</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Moon Township, Pennsylvania</w:t>
            </w:r>
          </w:p>
        </w:tc>
        <w:tc>
          <w:tcPr>
            <w:tcW w:w="36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Corporate headquarters, executive, human</w:t>
            </w:r>
          </w:p>
        </w:tc>
        <w:tc>
          <w:tcPr>
            <w:tcW w:w="22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resources, sales, recruiting, marketing and finance</w:t>
            </w:r>
          </w:p>
        </w:tc>
        <w:tc>
          <w:tcPr>
            <w:tcW w:w="2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IT Staffing</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Waltham, Massachusetts</w:t>
            </w:r>
          </w:p>
        </w:tc>
        <w:tc>
          <w:tcPr>
            <w:tcW w:w="386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IT Staffing</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Illinois</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sales and recruiting</w:t>
            </w:r>
          </w:p>
        </w:tc>
        <w:tc>
          <w:tcPr>
            <w:tcW w:w="2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7"/>
              </w:rPr>
              <w:t>IT Staffing</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Atlanta, Georgia</w:t>
            </w:r>
          </w:p>
        </w:tc>
        <w:tc>
          <w:tcPr>
            <w:tcW w:w="3860" w:type="dxa"/>
            <w:vAlign w:val="bottom"/>
            <w:gridSpan w:val="2"/>
          </w:tcPr>
          <w:p>
            <w:pPr>
              <w:spacing w:after="0"/>
              <w:rPr>
                <w:sz w:val="20"/>
                <w:szCs w:val="20"/>
                <w:color w:val="auto"/>
              </w:rPr>
            </w:pPr>
            <w:r>
              <w:rPr>
                <w:rFonts w:ascii="Arial" w:cs="Arial" w:eastAsia="Arial" w:hAnsi="Arial"/>
                <w:sz w:val="18"/>
                <w:szCs w:val="18"/>
                <w:color w:val="auto"/>
              </w:rPr>
              <w:t>Executive, sales and marketing</w:t>
            </w: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Data and Analytics</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Toronto, Canada</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Human resources, sales, marketing and delivery</w:t>
            </w:r>
          </w:p>
        </w:tc>
        <w:tc>
          <w:tcPr>
            <w:tcW w:w="2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Data and Analytics</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NOIDA, India</w:t>
            </w:r>
          </w:p>
        </w:tc>
        <w:tc>
          <w:tcPr>
            <w:tcW w:w="3860" w:type="dxa"/>
            <w:vAlign w:val="bottom"/>
            <w:gridSpan w:val="2"/>
          </w:tcPr>
          <w:p>
            <w:pPr>
              <w:spacing w:after="0"/>
              <w:rPr>
                <w:sz w:val="20"/>
                <w:szCs w:val="20"/>
                <w:color w:val="auto"/>
              </w:rPr>
            </w:pPr>
            <w:r>
              <w:rPr>
                <w:rFonts w:ascii="Arial" w:cs="Arial" w:eastAsia="Arial" w:hAnsi="Arial"/>
                <w:sz w:val="18"/>
                <w:szCs w:val="18"/>
                <w:color w:val="auto"/>
              </w:rPr>
              <w:t>Sales and recruiting office</w:t>
            </w: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IT Staffing</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39,900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Chennai, India</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delivery center</w:t>
            </w:r>
          </w:p>
        </w:tc>
        <w:tc>
          <w:tcPr>
            <w:tcW w:w="2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Data and Analytics</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86"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0" w:right="660" w:hanging="1092"/>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5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common stock is traded on the NYSE American under the symbol “MHH”. We began trading “regular way” on the former American Stock Exchange (“AMEX”) on October 1, 2008.</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March 1, 2022, we had 84 registered holders of record of our common stock. This figure excludes an estimate of the indeterminate number of beneficial holders whose shares may be held by brokerage firms and clearing agencies. We currently do not pay recurring dividends on our common stock.</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Currently, we do not have an active share repurchase program. However, we do from time to time purchase shares to satisfy employee tax obligations related to the vesting of restricted shares, in accordance with the Company’s Stock Incentive Plan provisions. During 2021 and 2020, the Company did not purchase any shares to satisfy such employee tax obligations.</w:t>
      </w:r>
    </w:p>
    <w:p>
      <w:pPr>
        <w:spacing w:after="0" w:line="18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For the year ended December 31, 2021 and December 31, 2020, stock purchases under the Stock Purchase Plan totaled 23,492 and 20,459 shares at an average purchase price of $12.84 and $10.91, respectively. At December 31, 2021, there were 515,549 shares available for purchase under the Plan.</w:t>
      </w:r>
    </w:p>
    <w:p>
      <w:pPr>
        <w:spacing w:after="0" w:line="32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37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i w:val="1"/>
          <w:iCs w:val="1"/>
          <w:color w:val="auto"/>
        </w:rPr>
        <w:t>This Management’s Discussion and Analysis should be read in conjunction with our Consolidated Financial Statements and accompanying Notes included in this Annual Report on Form 10-K.</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This Management’s Discussion and Analysis contains forward-looking statements that involve risks, uncertainties, and assumptions as described under the heading “Forward-Looking Statements” included in Part I of this Annual Report on Form 10-K. Our actual results could differ materially from those anticipated by these forward-looking statements as a result of many factors, including those discussed under “Item 1A. Risk Factors” and elsewhere in this Annual Report on Form 10-K.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portfolio of offerings includes data management and analytics services; other digital transformation services such as digital learning services; and IT staffing services.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operate in two reporting segments – Data and Analytics Services and IT Staffing Services. Our data and analytics services are marketed on a global basis under the brand Mastech InfoTrellis and are delivered largely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486"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on a project basis with on-site and off-shore resources. These capabilities and expertise were acquired through our acquisition of InfoTrellis and enhanced and expanded subsequent to the acquisition. In October 2020, we acquired AmberLeaf Partners, Inc. (“AmberLeaf”), a Chicago-based customer experience consulting firm. This acquisition enhances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192"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Economic Trends and Outlook</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As the economy slowed in 2007 and recessionary conditions emerged in 2008 and 2009, we experienced less demand for our IT staffing services. With economic expansion in 2010 through 2019 activity levels improved. However, as economic conditions strengthened, we experience increased tightness in the supply-side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that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have caused some uncertainty and disruption in the global markets. As we enter 2022, we are hopeful that both COVID-19-related concerns and economic uncertainty subsides and conditions improve throughout the year.</w:t>
      </w:r>
    </w:p>
    <w:p>
      <w:pPr>
        <w:spacing w:after="0" w:line="172" w:lineRule="exact"/>
        <w:rPr>
          <w:sz w:val="20"/>
          <w:szCs w:val="20"/>
          <w:color w:val="auto"/>
        </w:rPr>
      </w:pPr>
    </w:p>
    <w:p>
      <w:pPr>
        <w:jc w:val="both"/>
        <w:ind w:left="120" w:right="320" w:firstLine="440"/>
        <w:spacing w:after="0" w:line="301" w:lineRule="auto"/>
        <w:rPr>
          <w:sz w:val="20"/>
          <w:szCs w:val="20"/>
          <w:color w:val="auto"/>
        </w:rPr>
      </w:pPr>
      <w:r>
        <w:rPr>
          <w:rFonts w:ascii="Arial" w:cs="Arial" w:eastAsia="Arial" w:hAnsi="Arial"/>
          <w:sz w:val="16"/>
          <w:szCs w:val="16"/>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Within our IT Staffing Services segment, a larger portion of our revenues has come from strategic relationships with systems integrators and other staffing organizations. Additionally, many large end users of IT staffing services are employing MSP’s to manage their contractor spending. Both of these dynamics may pressure our IT staffing gross margins in the future.</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 We believe these challenges will remain in 2022.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We operate in two reporting segments – Data and Analytics Services and IT Staffing Services. The 2020 results of operations for our Data and Analytics Services segment include the operating results of AmberLeaf from the October 1, 2020 acquisition date through December 31, 2020.</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86"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 tabular presentation of revenues and gross profit margins by segment for the periods discussed:</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Revenues &amp; Gross Margin by Segment</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(Revenues in millions)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Revenues</w:t>
            </w: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6"/>
              </w:rPr>
              <w:t>Years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760" w:type="dxa"/>
            <w:vAlign w:val="bottom"/>
            <w:gridSpan w:val="4"/>
            <w:vMerge w:val="continue"/>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9"/>
              </w:rPr>
              <w:t>2021</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9"/>
              </w:rPr>
              <w:t>2020</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Data and Analytics Services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38.3</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IT Staffing Services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8"/>
              <w:spacing w:after="0"/>
              <w:rPr>
                <w:sz w:val="20"/>
                <w:szCs w:val="20"/>
                <w:color w:val="auto"/>
              </w:rPr>
            </w:pPr>
            <w:r>
              <w:rPr>
                <w:rFonts w:ascii="Arial" w:cs="Arial" w:eastAsia="Arial" w:hAnsi="Arial"/>
                <w:sz w:val="18"/>
                <w:szCs w:val="18"/>
                <w:color w:val="auto"/>
                <w:w w:val="84"/>
              </w:rPr>
              <w:t>183.7</w:t>
            </w: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w w:val="84"/>
              </w:rPr>
              <w:t>163.9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166.9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Revenues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w w:val="84"/>
              </w:rPr>
              <w:t>222.0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84"/>
              </w:rPr>
              <w:t>194.1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8"/>
              </w:rPr>
              <w:t>193.6</w:t>
            </w:r>
          </w:p>
        </w:tc>
        <w:tc>
          <w:tcPr>
            <w:tcW w:w="0" w:type="dxa"/>
            <w:vAlign w:val="bottom"/>
          </w:tcPr>
          <w:p>
            <w:pPr>
              <w:spacing w:after="0"/>
              <w:rPr>
                <w:sz w:val="1"/>
                <w:szCs w:val="1"/>
                <w:color w:val="auto"/>
              </w:rPr>
            </w:pPr>
          </w:p>
        </w:tc>
      </w:tr>
      <w:tr>
        <w:trPr>
          <w:trHeight w:val="20"/>
        </w:trPr>
        <w:tc>
          <w:tcPr>
            <w:tcW w:w="4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Gross Margin %</w:t>
            </w: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60" w:type="dxa"/>
            <w:vAlign w:val="bottom"/>
            <w:gridSpan w:val="4"/>
            <w:vMerge w:val="continue"/>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 and Analytics Services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IT Staffing Services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Gross Margin %</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26.8%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Below is a tabular presentation of operating expenses by sales and marketing operations, amortization of acquired intangible assets, acquisition transaction expenses, revaluation of contingent consideration and general and administrative categories for the periods discussed:</w:t>
      </w:r>
    </w:p>
    <w:p>
      <w:pPr>
        <w:spacing w:after="0" w:line="2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Selling, General &amp; Administrative (“S,G&amp;A”) Expense Details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millions)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77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Data and Analytics Services Segment</w:t>
            </w: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Sales and Marketing</w:t>
            </w:r>
          </w:p>
        </w:tc>
        <w:tc>
          <w:tcPr>
            <w:tcW w:w="4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4.9</w:t>
            </w: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Transaction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Revaluation of Contingent Consideration</w:t>
            </w:r>
          </w:p>
        </w:tc>
        <w:tc>
          <w:tcPr>
            <w:tcW w:w="1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(2.9)</w:t>
            </w:r>
          </w:p>
        </w:tc>
        <w:tc>
          <w:tcPr>
            <w:tcW w:w="1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774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13.0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7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IT Staffing Services Segment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Sales and Marketing</w:t>
            </w:r>
          </w:p>
        </w:tc>
        <w:tc>
          <w:tcPr>
            <w:tcW w:w="55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7.1</w:t>
            </w: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10.2</w:t>
            </w: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5"/>
              </w:rPr>
              <w:t>11.2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774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28.8</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S,G&amp;A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5"/>
              </w:rPr>
              <w:t>41.8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1"/>
              </w:rPr>
              <w:t>38.1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1"/>
              </w:rPr>
              <w:t>31.0</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Compared to 2020</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Revenues for the year ended December 31, 2021 totaled $222.0 million, compared to $194.1 million for the year ended December 31, 2020. This 14% increase in total revenues reflected revenue growth of 27% (approximately 11% organic) in our Data and Analytics Services segment and a 12% revenue increase in our IT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320" w:top="486" w:right="5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Staffing Services segment. In our Data and Analytics Services segment, activity levels improved from COVID-impacted market conditions in 2020. However, in 2021 we continued to see some client reluctance to start new projects, albeit on a much smaller scale than in 2020. Bookings in 2021 approximated $55 million, a marked improvement over 2020 and pipeline opportunities were elevated from a year ago as well. Revenue growth in our IT Staffing Services segment reflected a 198-consultant increase during the year compared to a 104-consultant decline in 2020. We ended 2021 with 1,261 consultants-on-billing versus 1,063 consultants-on-billing at year-end 2020. Our average IT staffing bill rate for 2021 totaled $75.66 per hour compared to $76.60 per hour in 2020. This bill rate decrease was due to lower rates on new assignments and was reflective of the type of skill-sets that we deployed. Permanent placement / fee revenues totaled $1.2 million in 2021, up over 60% from a year ago.</w:t>
      </w:r>
    </w:p>
    <w:p>
      <w:pPr>
        <w:spacing w:after="0" w:line="16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both 2021 and 2020, we had one client that exceeded 10% of total revenues (CGI = 15.0% in both periods, respectively). Our top ten clients represented 48% of total revenues in 2021 compared to 47% of total revenues in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Gross profit increased to $59.4 million in 2021 compared to $51.5 million in 2020, an increase of 15% on a year-over-basis. Gross profit as a percentage of revenue totaled 26.8% in 2021 compared to 26.6% in 2020. The improvement in our gross margin percentage largely reflected a favorable mix of revenues between our D&amp;A and IT Staffing segments. In our Data and Analytics Services segment, gross margins declined by 210-basis points from a record 50.5% in 2020. This decrease in margins reflected a lower margin profile in our acquired AmberLeaf business. Gross margins in our IT Staffing Services segment were 22.3% in 2021 compared to 22.1% in 2020. This 20-basis point improvement was largely due to better margins on new assignments and higher permanent placement revenues in 2021.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S,G&amp;A expenses in 2021 totaled $41.8 million and represented 18.8% of total revenues, compared to $38.1 million or 19.6% of revenues in 2020. When excluding acquisition transaction expenses; the revaluation of contingent consideration; and the amortization of acquired intangible assets, adjusted S,G&amp;A expenses related to operations, as a percentage of revenues was 18.6% in 2021 versus 17.9% in 2020. The increase in S,G&amp;A as a percentage of revenues excluding these items was largely due to investments made to our Data and Analytics Services segment.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Fluctuations within S,G&amp;A expense components during 2021 compared to 2020 included the following:</w:t>
      </w:r>
    </w:p>
    <w:p>
      <w:pPr>
        <w:spacing w:after="0" w:line="131" w:lineRule="exact"/>
        <w:rPr>
          <w:sz w:val="20"/>
          <w:szCs w:val="20"/>
          <w:color w:val="auto"/>
        </w:rPr>
      </w:pPr>
    </w:p>
    <w:p>
      <w:pPr>
        <w:ind w:left="1080" w:right="2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expense was $2.0 million higher in 2021 compared to the previous year. In the Data and Analytics Services segment sales expense increased by $1.3 million in 2021 due to investments made to the sales organization of $0.7 million and $0.6 million related to the consolidation of AmberLeaf’s sales expense. IT staffing sales expense increased by $0.7 million due to austerity measures implemented in the 2020 period, which were unwound in 2021.</w:t>
      </w:r>
    </w:p>
    <w:p>
      <w:pPr>
        <w:spacing w:after="0" w:line="92"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Operations expense increased by $1.7 million compared to 2020. Approximately $0.7 million reflected investments made to the delivery organization of our Data and Analytics Services segment – including an upgraded and expanded facility in Chennai, India. Operations expense in the IT Staffing Services segment increased by $1.0 million in 2021, largely due to higher recruitment staff and other variable expenses – both reflective of higher activity levels in the current year.</w:t>
      </w:r>
    </w:p>
    <w:p>
      <w:pPr>
        <w:spacing w:after="0" w:line="92"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acquired intangible assets was $3.2 million in 2021 versus $2.8 million in 2020. The increase related to amortization associated with the AmberLeaf acquisition.</w:t>
      </w:r>
    </w:p>
    <w:p>
      <w:pPr>
        <w:spacing w:after="0" w:line="75" w:lineRule="exact"/>
        <w:rPr>
          <w:rFonts w:ascii="Arial" w:cs="Arial" w:eastAsia="Arial" w:hAnsi="Arial"/>
          <w:sz w:val="18"/>
          <w:szCs w:val="18"/>
          <w:color w:val="auto"/>
        </w:rPr>
      </w:pPr>
    </w:p>
    <w:p>
      <w:pPr>
        <w:ind w:left="1080" w:right="54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Acquisition transaction expense was $0.1 million in 2021 and $0.6 million in 2020. The 2021 expense was related to an acquisition opportunity that was halted by us. The 2020 acquisition transaction expenses related to the AmberLeaf acquisition.</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8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revaluation of a contingent consideration liability totaled a credit of $2.9 million in 2021 related to the AmberLeaf acquisition. No contingent consideration revaluations occurred in 2020.</w:t>
      </w:r>
    </w:p>
    <w:p>
      <w:pPr>
        <w:spacing w:after="0" w:line="75" w:lineRule="exact"/>
        <w:rPr>
          <w:rFonts w:ascii="Arial" w:cs="Arial" w:eastAsia="Arial" w:hAnsi="Arial"/>
          <w:sz w:val="18"/>
          <w:szCs w:val="18"/>
          <w:color w:val="auto"/>
        </w:rPr>
      </w:pPr>
    </w:p>
    <w:p>
      <w:pPr>
        <w:ind w:left="1080" w:right="260" w:hanging="424"/>
        <w:spacing w:after="0" w:line="275"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&amp; administrative expenses increased by $3.0 million in 2021 compared to 2020. Our Data and Analytics Services segment was responsible for $1.5 million of this increase due to higher executive leadership and stock-based compensation expenses, as well as the consolidation of a full year of AmberLeaf in 2021. The IT Staffing Services segment had higher general and administrative expenses in 2021 of $1.5 million compared to the austerity-impacted levels of 2020 due to higher stock-based compensation expense, additional administrative staff and the unwinding of austerity measures from 2020.</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 (Expense) Components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2021, other income / (expense) consisted of interest expense of ($675,000) and foreign exchange losses of ($49,000). In 2020, other income / (expense) consisted of interest expense of ($866,000) and foreign exchange gains of $96,000. The decline in interest expense was largely due to lower average outstanding borrowings. Net foreign exchange losses in 2021 compared to 2020 reflected exchange rate variations between the Indian rupee and the Canadian dollar compared to the U.S. dollar.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Income tax expense for 2021 was $4.7 million and represented an effective tax rate on pre-tax income of 27.6% compared to $2.8 million in 2020, which represented an effective tax rate on pre-tax income of 21.9%. The lower 2020 effective tax rate was largely due to excess tax benefits related to the exercise of stock options and the vesting of restricted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Compared to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Revenues for the year ended December 31, 2020 totaled $194.1 million, compared to $193.6 million for the year ended December 31, 2019. This slight increase in revenues reflected revenue growth of 13% (approximately 6% organic) in our Data and Analytics Services segment and a 2% revenue decline in our IT Staffing Services segment. In our Data and Analytics Services segment, existing client projects continued largely uninterrupted, resulting in revenue growth during the year. However, the pandemic clearly impacted new assignments and pipeline opportunities with project start delays, which resulted in curtailed revenue growth in 2020. Revenue declined in our IT Staffing Services segment resulting in a 104-consultant decline during the year, as we ended 2020 with 1,063 consultants-on-billing. This decline in IT Staffing Services segment revenues was the direct result of the COVID-19 pandemic and its impact on activity levels and early assignment ends, particularly in the first-half of the year. Our average IT staffing bill rate for 2020 increased to $76.60 per hour compared to $74.97 per hour in 2019 — an increase of about 2%. This bill rate increase was primarily the result of our continued focus on advanced technology skill-sets.</w:t>
      </w:r>
    </w:p>
    <w:p>
      <w:pPr>
        <w:spacing w:after="0" w:line="18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 both 2020 and 2019, we had one client that exceeded 10% of total revenues (CGI = 15.0% and 11.3%, respectively). Our top ten clients represented 47% of total revenues in 2020 compared to 45% of total revenues in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Gross profit increased to $51.5 million in 2020 compared to $48.0 million in 2019. Gross profit as a percentage of revenue totaled 26.6% in 2020 compared to 24.8% in 2019. The improvement in our gross margin percentage reflected margin expansion in both of our business segments. In our Data and Analytics Services segment, gross margins increased by 380-basis points to a record 50.5%. This increase was due to higher-valued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86"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assignments, improved utilization and very little reimbursable travel expense revenues due to the pandemic (pass-through revenues with no gross margin content). Gross margins in our IT Staffing Services segment were 22.1% in 2020 compared to 21.3% in 2019. This 80-basis point improvement was largely due to better margins on new assignments and reflected our continued focus on advanced technology skill-sets.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S,G&amp;A expenses in 2020 totaled $38.1 million and represented 19.6% of total revenues, compared to $31.0 million or 16.0% of revenues in 2019. When excluding acquisition transaction expenses; the revaluation of contingent consideration; goodwill impairment; and the amortization of acquired intangible assets, adjusted S,G&amp;A expenses related to operations, as a percentage of revenues was 17.9% in 2020 versus 17.8% in 2019. The slight increase in S,G&amp;A as a percentage of revenues excluding these items was largely due to investments made to our Data and Analytics Services segment, including expenses related to the integration of the AmberLeaf business following the acquisition.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Fluctuations within S,G&amp;A expense components during 2020 compared to 2019 included the following:</w:t>
      </w:r>
    </w:p>
    <w:p>
      <w:pPr>
        <w:spacing w:after="0" w:line="131" w:lineRule="exact"/>
        <w:rPr>
          <w:sz w:val="20"/>
          <w:szCs w:val="20"/>
          <w:color w:val="auto"/>
        </w:rPr>
      </w:pPr>
    </w:p>
    <w:p>
      <w:pPr>
        <w:ind w:left="1080" w:right="80" w:hanging="424"/>
        <w:spacing w:after="0" w:line="31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Sales expense was flat compared to the previous year. In the Data and Analytics Services segment sales expense increased by $1.5 million in 2020 due to investments made to the sales organization of $1.2 million and $0.3 million related to integrating the AmberLeaf sales expense. IT staffing sales expense declined by $1.5 million in 2020 due to austerity measures and lower activity-based expenses.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Operations expense decreased by $1.2 million compared to 2019. Expense reductions in the IT Staffing Services segment totaled</w:t>
      </w:r>
    </w:p>
    <w:p>
      <w:pPr>
        <w:spacing w:after="0" w:line="34" w:lineRule="exact"/>
        <w:rPr>
          <w:rFonts w:ascii="Arial" w:cs="Arial" w:eastAsia="Arial" w:hAnsi="Arial"/>
          <w:sz w:val="17"/>
          <w:szCs w:val="17"/>
          <w:color w:val="auto"/>
        </w:rPr>
      </w:pPr>
    </w:p>
    <w:p>
      <w:pPr>
        <w:ind w:left="1080" w:right="100"/>
        <w:spacing w:after="0" w:line="255" w:lineRule="auto"/>
        <w:rPr>
          <w:rFonts w:ascii="Arial" w:cs="Arial" w:eastAsia="Arial" w:hAnsi="Arial"/>
          <w:sz w:val="17"/>
          <w:szCs w:val="17"/>
          <w:color w:val="auto"/>
        </w:rPr>
      </w:pPr>
      <w:r>
        <w:rPr>
          <w:rFonts w:ascii="Arial" w:cs="Arial" w:eastAsia="Arial" w:hAnsi="Arial"/>
          <w:sz w:val="18"/>
          <w:szCs w:val="18"/>
          <w:color w:val="auto"/>
        </w:rPr>
        <w:t>$2.1 million largely due to austerity measures around recruiting staff and lower activity-based expenses. Partially offsetting these declines were increases of $0.9 million related to investments made to our Data and Analytics Services segment in the areas of delivery and analytics.</w:t>
      </w:r>
    </w:p>
    <w:p>
      <w:pPr>
        <w:spacing w:after="0" w:line="95"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of acquired intangible assets was $2.8 million in 2020 versus $2.7 million in 2019. The slight increase related to amortization associated with the AmberLeaf acquisition.</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transaction expenses were $0.6 million in 2020 and reflected transaction expenses related to the AmberLeaf acquisition. This compared to negative transaction expense of $0.1 million in 2019 related to a reversal of investment banking fees due to the contingent consideration in the InfoTrellis acquisition not being earned.</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revaluation of a contingent consideration liability totaled a credit of $6.1 million in 2019 related to the InfoTrellis acquisition. No contingent consideration revaluations occurred in 2020.</w:t>
      </w:r>
    </w:p>
    <w:p>
      <w:pPr>
        <w:spacing w:after="0" w:line="75" w:lineRule="exact"/>
        <w:rPr>
          <w:rFonts w:ascii="Arial" w:cs="Arial" w:eastAsia="Arial" w:hAnsi="Arial"/>
          <w:sz w:val="18"/>
          <w:szCs w:val="18"/>
          <w:color w:val="auto"/>
        </w:rPr>
      </w:pPr>
    </w:p>
    <w:p>
      <w:pPr>
        <w:ind w:left="1080" w:right="40" w:hanging="424"/>
        <w:spacing w:after="0" w:line="29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General &amp; administrative expenses increased by $1.4 million in 2020 compared to 2019. Our Data and Analytics Services segment was responsible for $0.5 million of this increase due to higher executive leadership compensation expense, stock-based compensation expenses and the AmberLeaf acquisition and integration in 2020, partially offset by lower travel expense. The IT Staffing Services segment had higher general and administrative expenses in 2020 of $0.9 million due to higher stock-based compensation expense, event costs (incurred pre-COVID-19 in January and February 2020) and outside services expense, partially offset by lower travel expense.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 (Expense) Components</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2020, other income / (expense) consisted of interest expense of ($866,000) and foreign exchange gains of $96,000. In 2019, other income / (expense) consisted of interest expense of ($1.8 million) and foreign exchange gains of $11,000. The decline in interest expense was due to lower average outstanding borrowings resulting from debt repayments made during the year and a lower effective interest rate. Net foreign exchange gains in 2020 and 2019 largely reflected exchange rate variations between the Indian rupee and the Canadian dollar compared to the U.S. dollar.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Income tax expense for 2020 was $2.8 million and represented an effective tax rate on pre-tax income of 21.9% compared to $4.1 million in 2019, which represented an effective tax rate on pre-tax income of 26.8%. The lower 2020 effective tax rate was largely due to excess tax benefits related to the exercise of stock options and the vesting of restricted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Conditions and Liquidity</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At December 31, 2021, we had outstanding bank debt, net of cash balances on hand, of $6.5 million and approximately $32.4 million of borrowing capacity under our existing credit facility. During 2021, our outstanding bank debt, net of cash balances on hand, declined by approximately $3.3 million, despite investments in operating working capital of $12 million and capital expenditures of $1.9 million – largely due to facility upgrades to our Chennai delivery center and upgrades to our IT Systems environment. The increase in operating working capital levels reflected higher revenues in 2021 and the repayment of $2.3 million related to the COVID-19 payroll tax deferment program. (See Note 8 for further details).</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Historically, we have funded our business needs with cash generation from operating activities. In the data and analytics services and IT staffing services industries, investment in operating working capital levels (defined as current assets excluding cash and cash equivalents minus current liabilities, excluding short-term borrowings) is a significant use of cash. Controlling our operating working capital levels by closely managing our accounts receivable balance is an important element of cash preservation. Our accounts receivable “days sales outstanding” measurement (“DSO”) was 61-days at year-end 2021 and 60-days at year-end 2020. The slightly higher DSO measurement in 2021 is due to a higher DSO measurement in our solution-based data and analytics business. As data and analytics revenues increase as a percentage of total revenues, we would expect a natural increase in our overall DSO measurement.</w:t>
      </w:r>
    </w:p>
    <w:p>
      <w:pPr>
        <w:spacing w:after="0" w:line="19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Cash provided by operating activities, our cash and cash equivalent balances on hand at December 31, 2021 and current availability under our existing credit facility are expected to be adequate to fund our business needs over the next 12 months, absent any major acquisition-related activities.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 tabular presentation of cash flow activities for the periods discussed:</w:t>
      </w:r>
    </w:p>
    <w:p>
      <w:pPr>
        <w:spacing w:after="0" w:line="244"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Years Ended December 31,</w:t>
      </w:r>
    </w:p>
    <w:p>
      <w:pPr>
        <w:spacing w:after="0" w:line="4" w:lineRule="exact"/>
        <w:rPr>
          <w:sz w:val="20"/>
          <w:szCs w:val="20"/>
          <w:color w:val="auto"/>
        </w:rPr>
      </w:pPr>
    </w:p>
    <w:p>
      <w:pPr>
        <w:ind w:left="560"/>
        <w:spacing w:after="0"/>
        <w:tabs>
          <w:tab w:leader="none" w:pos="8320" w:val="left"/>
          <w:tab w:leader="none" w:pos="9240" w:val="left"/>
          <w:tab w:leader="none" w:pos="10180" w:val="left"/>
        </w:tabs>
        <w:rPr>
          <w:sz w:val="20"/>
          <w:szCs w:val="20"/>
          <w:color w:val="auto"/>
        </w:rPr>
      </w:pPr>
      <w:r>
        <w:rPr>
          <w:rFonts w:ascii="Arial" w:cs="Arial" w:eastAsia="Arial" w:hAnsi="Arial"/>
          <w:sz w:val="14"/>
          <w:szCs w:val="14"/>
          <w:b w:val="1"/>
          <w:bCs w:val="1"/>
          <w:u w:val="single" w:color="auto"/>
          <w:color w:val="auto"/>
        </w:rPr>
        <w:t>Cash Flows Activities</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5080</wp:posOffset>
            </wp:positionV>
            <wp:extent cx="1448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84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-97155</wp:posOffset>
            </wp:positionV>
            <wp:extent cx="1448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ind w:left="8780"/>
        <w:spacing w:after="0"/>
        <w:rPr>
          <w:sz w:val="20"/>
          <w:szCs w:val="20"/>
          <w:color w:val="auto"/>
        </w:rPr>
      </w:pPr>
      <w:r>
        <w:rPr>
          <w:rFonts w:ascii="Arial" w:cs="Arial" w:eastAsia="Arial" w:hAnsi="Arial"/>
          <w:sz w:val="14"/>
          <w:szCs w:val="14"/>
          <w:b w:val="1"/>
          <w:bCs w:val="1"/>
          <w:color w:val="auto"/>
        </w:rPr>
        <w:t>(Amounts in millions)</w:t>
      </w:r>
    </w:p>
    <w:p>
      <w:pPr>
        <w:spacing w:after="0" w:line="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$ 5.2</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$21.2</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$ 16.1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Investing activities</w:t>
            </w:r>
          </w:p>
        </w:tc>
        <w:tc>
          <w:tcPr>
            <w:tcW w:w="382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(9.6)</w:t>
            </w: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Cash provided by (used in) operating activities for the years ended December 31, 2021, 2020 and 2019 totaled $5.2 million, $21.2 million and $16.1 million, respectively. In 2021, cash flows from operating activities included net income of $12.2 million, non-cash charges of $4.7 million and increases in operating working capital of ($11.7 million). In 2020, cash flows from operating activities included net income of $9.9 million, non-cash charges of $4.0 million and reductions in operating working capital of $7.3 million. In 2019, cash flows from operating activities included net income of $11.1 million, non-cash charges of ($0.1 million) and reductions in operating working capital of $5.1 million. The 2021 increase in operating working capital reflected higher accounts receivable due to higher revenue levels and a $2.3 million repayment of the COVID-19 payroll tax deferment program. The 2020 reduction in operating working capital was due to lower accounts receivable,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86"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reflecting revenue declines in the second half of the year and $4.6 million related to the COVID-19 payroll tax deferment program. The 2019 decline in operating working capital was reflective of the resolution of cash conversion disruptions related to our 2018 Cloud-based ERP platform implementation.</w:t>
      </w:r>
    </w:p>
    <w:p>
      <w:pPr>
        <w:spacing w:after="0" w:line="12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would expect operating working capital levels to increase should revenue grow in 2022. Accordingly, an increase in operating working capital would result in a reduction in cash generated from operating activities. We believe DSO’s will remain at current levels or increase marginally should data and analytics revenues grow disproportionately to total revenues. Additionally, the $4.6 million payroll tax deferment in 2020 will require a final payment of $2.3 million in 2022, which will negatively impact cash flows from operating activities in 2022.</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in) investing activities for the years ended December 31, 2021, 2020 and 2019 totaled ($2.1million), ($9.6 million) and ($0.9 million),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respectively. In 2021, cash (used in) investing activities consisted of ($1.9 million) of capital expenditures and ($0.2 million) of non-current deposits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(office lease deposits). In 2020, cash (used in) investing activities related to the acquisition of AmberLeaf of ($9.3 million) and capital expenditures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In 2019, cash (used in) investing activities included capital expenditures of ($1.0 million), partially offset by $0.1 million of recoveries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non-current deposits. In 2021, capital expenditures were largely related to system upgrade expenditures and improvements to our data and analytics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delivery center in Chennai, India.</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2021, cash (used in) financing activities totaled ($4.1 million) and included debt repayments of ($4.4 million) and the payment of deferred financing costs of ($0.2 million) related to our credit facility amendment, partially offset by proceeds from the exercise of stock options and the issuance of common stock related to the Company’s employee stock purchase plan of $0.5 million. In 2020, cash (used in) financing activities totaled ($6.7 million) and consisted of debt repayments, net of term-loan refinancing associated the AmberLeaf acquisition of ($8.0 million) and the payment of deferred financing costs of ($0.3 million), partially offset by $1.4 million proceeds from the exercise of stock options and the issuance of common stock of $0.2 million. In 2019, cash (used in) financing activities totaled ($13.4 million) and largely consisted of net debt repayments of ($13.6 million), partially offset by $0.2 million of proceeds from the issuance of common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2020, we put into place an effective shelf registration statement that allows us to offer and sell common stock, preferred stock, debt and other securities, either individually or in combination, up to a total dollar amount of $35 million in one or more offerings. These securities may be issued, from time to time, at our discretion based on our needs and market conditions. We believe that this shelf registration statement currently provides us flexibility with regard to potential financings that we may undertake when market conditions permit or as our financial condition may require. As of the date of this Form 10-K, we have not completed any offerings under our shelf registration statement, and we make no assurance that we can or will issue and sell any securities under our shelf registration statement.</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Other than the factors discussed in this section and the potential further impacts of the pandemic on our business, we are not aware of any other trends, demands or commitments that would materially affect liquidity or our financial resources.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off-balance sheet arrangements.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86"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would increase our cost of borrowings.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operations are generally not affected by seasonal fluctuations. However, our consultants’ billable hours are affected by national holidays and vacation patterns. Accordingly, we typically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Certain accounting policies are particularly important to the portrayal of our financial position, results of operations and cash flows and require the application of significant judgment by management, and as a result, are subject to an inherent degree of uncertainty. In applying these policies, our management uses judgment to determine the appropriate assumptions to be used in the determination of certain estimates. These estimates are based on our historical experience, terms of existing contracts, observances of industry trends and other available information from outside sources, as appropriate. The following explains our most critical accounting policies. See the Notes to the Consolidated Financial Statements, contained in Item 8, of this Annual Report on Form 10-K for a complete description of our significant accounting policies.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660" w:firstLine="440"/>
        <w:spacing w:after="0" w:line="301" w:lineRule="auto"/>
        <w:rPr>
          <w:sz w:val="20"/>
          <w:szCs w:val="20"/>
          <w:color w:val="auto"/>
        </w:rPr>
      </w:pPr>
      <w:r>
        <w:rPr>
          <w:rFonts w:ascii="Arial" w:cs="Arial" w:eastAsia="Arial" w:hAnsi="Arial"/>
          <w:sz w:val="16"/>
          <w:szCs w:val="16"/>
          <w:color w:val="auto"/>
        </w:rPr>
        <w:t>The Company recognizes revenue on time-and-material over time contracts as services are performed and expenses are incurred. Time-and-material contracts typically bill at an agreed-upon hourly rate, plus out-of-pocket expense reimbursement. Out-of-pocket expense reimbursement amounts vary by assignment, but historically on average represent less than 2% of total revenues. Revenue is earned when the Company’s consultants are working on projects. Revenue recognition is negatively impacted by holidays and consultant vacation and sick days.</w:t>
      </w:r>
    </w:p>
    <w:p>
      <w:pPr>
        <w:spacing w:after="0" w:line="157"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Company recognizes revenue on fixed price contracts over time as services are rendered and uses a cost-based input method to measure progress. Determining a measure of progress requires management to make judgments that affect the timing of recognizing revenue.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time-and-material and fixed price revenue streams are recognized over time as the customer receives and consumes the benefits of the Company’s performance as the work is performed.</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 and Allowance for Uncollectible Accounts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Unbilled receivables represent amounts recognized as revenues based on services performed and, in accordance with the terms of the client contract, will be invoiced in a subsequent period.</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Accounts receivable are reviewed periodically to determine the probability of loss. The Company records an allowance for uncollectible accounts when it is probable that the related receivable balance will not be collected based on historical collection experience, client-specific collection issues, and other matters the Company identifies in its collection monitoring.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“Business Combinations” and Note 4 “Goodwill and Other Intangible Assets, net” to the Notes to the Consolidated Financial Statements.</w:t>
      </w:r>
    </w:p>
    <w:p>
      <w:pPr>
        <w:spacing w:after="0" w:line="15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83"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6"/>
          <w:szCs w:val="16"/>
          <w:color w:val="auto"/>
        </w:rPr>
        <w:t>We review goodwill and intangible assets for impairment annually as of October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or more frequently if events or changes in circumstances indicate that the carrying value of the assets may not be recoverable. The impairment test is performed at the reporting unit (business segment)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8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 xml:space="preserve">The Company accounts for acquisitions in accordance with guidance found in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 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effect income tax expense.</w:t>
      </w:r>
    </w:p>
    <w:p>
      <w:pPr>
        <w:spacing w:after="0" w:line="17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AmberLeaf financial results are included in the Company’s Consolidated Financial Statements from the October 1, 2020 acquisition date.</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Effective October 1, 2008, the Company adopted a Stock Incentive Plan (the “Plan”) which, as amended, provides that up to 4,900,000 shares of the Company’s common stock shall be allocated for issuance to directors, executive management and key personnel. Grants under the Plan can be made in the form of stock options, stock appreciation rights, performance shares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18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(1) the fair market value per share of Common Stock on the first day of the offering period, or (ii) the fair market value per share of Common Stock on the last day of the offering period.</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accounts for stock-based compensation expense in accordance with ASC Topic 718 “</w:t>
      </w:r>
      <w:r>
        <w:rPr>
          <w:rFonts w:ascii="Arial" w:cs="Arial" w:eastAsia="Arial" w:hAnsi="Arial"/>
          <w:sz w:val="18"/>
          <w:szCs w:val="18"/>
          <w:i w:val="1"/>
          <w:iCs w:val="1"/>
          <w:color w:val="auto"/>
        </w:rPr>
        <w:t>Share-based Payments</w:t>
      </w:r>
      <w:r>
        <w:rPr>
          <w:rFonts w:ascii="Arial" w:cs="Arial" w:eastAsia="Arial" w:hAnsi="Arial"/>
          <w:sz w:val="18"/>
          <w:szCs w:val="18"/>
          <w:color w:val="auto"/>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and may differ from the amounts recorded. An adjustment to the estimated liability would be recorded through income in the period in which it becomes probable that the amount of the actual liability differs from the amount recorded.</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 enacted. The Company evaluates its deferred tax assets and records a valuation allowance when, in management’s opinion, it is more likely than not that some portion or all of the deferred tax assets will not be realized. As of December 31, 2021 and 2020, the Company provided a valuation allowance of $311,000 and $179,000, respectively, related to the uncertainty of the realization of foreign net operating losses (“NOL”).</w:t>
      </w:r>
    </w:p>
    <w:p>
      <w:pPr>
        <w:spacing w:after="0" w:line="17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Tax Cuts and Jobs Act of 2017 created a new requirement that certain income earned by foreign subsidiaries, known as global intangible low-tax income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accounts for uncertain tax positions in accordance with ASC Topic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Accordingly, the Company has reported a liability for unrecognized tax benefits resulting from uncertain tax positions taken, or expected to be taken, in a tax return. As of December 31, 2021 and 2020, the Company provided $0 for uncertain tax positions, including interest and penalties, related to various federal and state income tax matters.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 Liability</w:t>
      </w:r>
    </w:p>
    <w:p>
      <w:pPr>
        <w:spacing w:after="0" w:line="117"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In connection with the AmberLeaf acquisition, the Company has an obligation to pay consideration that is contingent upon the achievement of specified revenue growth and EBITA margin objectives. As of the acquisition date, the Company recorded a contingent consideration liability of $2.9 million representing the estimated fair value of the contingent consideration that is expected to be paid. The fair value of the contingent consideration liability was estimated by utilizing a probability weighted simulation model to determine the fair value of contingent consideration.</w:t>
      </w:r>
    </w:p>
    <w:p>
      <w:pPr>
        <w:spacing w:after="0" w:line="15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connection with the InfoTrellis acquisition, the Company had an obligation to pay consideration that was contingent upon the achievement of specified earnings before interest and taxes objectives (“EBIT”). As of the acquisition date, the Company recorded a contingent consideration liability representing the estimated fair value of the contingent consideration that was expected to be paid. The fair value of the contingent consideration liability was estimated by utilizing a probability weighted simulation model to determine the fair value of contingent consideration.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re-measured this liability and recorded changes in the fair value when it was more likely than not that the future payments had changed.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Increases or decreases in the fair value of contingent consideration can result from changes in timing and amounts of revenue and earnings estimates.</w:t>
      </w:r>
    </w:p>
    <w:p>
      <w:pPr>
        <w:spacing w:after="0" w:line="23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2021, the Company revalued the contingent consideration liability related to the AmberLeaf acquisition after determining that relevant conditions for payment of such liability were likely not to be satisfied. The revaluation resulted in a $2.9 million reduction to the contingent consideration liability. In 2019, the Company revalued the contingent consideration liability of the InfoTrellis acquisition after determining that relevant conditions for payment of such liability were not satisfied. The revaluation resulted in a $6.1 million reduction to the contingent consideration liability. No contingent consideration revaluation was recorded in 2020. Both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86"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these credits are reflected in selling, general and administrative expenses in the Company’s Consolidated Statements of Operations, in Item 8, herein. No contingent consideration liability remained outstanding as of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Instruments and Hedging Activities—Interest Rate Swap Contracts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Concurrent with the Company’s borrowings on July 13, 2017 under its new credit facility, the Company entered into an interest-rate swap to convert the debt’s variable interest rate to a fixed rate of interest. These swap contracts, which matured on April 1, 2021, have been designated as a cash flow hedging instrument and qualified as effective hedges at inception under ASC Topic 815 “Derivatives and Hedging”. These contracts are recognized on the balance sheet at fair value. The effective portion of the changes in fair value on these contracts is recorded in other comprehensive income (loss) and is reclassified into the Consolidated Statements of Operations as interest expense in the same period in which the underlying transaction affects earnings.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With respect to derivatives designated as hedges, the Company formally documents all relationships between hedging instruments and hedged items, as well as its risk management objective and strategy for undertaking such transactions. The Company evaluates hedge effectiveness at the time a contract is entered into and on an ongoing basis. If a swap contract is deemed ineffective, the change in the fair value of the derivative is recorded in the Consolidated Statement of Operations as interest expense.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and have not been material for all periods presented.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Recent accounting pronouncements are described in Note 1 to the Consolidated Financial Statements contained in Item 8, herein.</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addition to the inherent operational risks, the Company is exposed to certain market risks, primarily related to changes in interest rates and currency fluctuations.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At December 31, 2021, we had outstanding borrowings of $13.1 million under our Credit Agreement with PNC Bank and certain other financial institution lenders (the “Credit Agreement”)—Refer to Note 6—“Credit Facility” in the Notes to Consolidated Financial Statements, included in Item 8 herein. A hypothetical 10% increase in interest rates on our variable debt outstanding at December 31, 2021 would have an increase in our annual interest expense of approximately $40,000. As of December 31, 2021, the Company has no interest-rate hedge vehicles outstanding.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LIBOR has been discontinued after 2021. In March 2020, the FASB issued authoritative guidance, which provides optional expedients and exceptions for applying GAAP to contract modifications, hedging relationships, and other transactions that reference LIBOR and are affected by reference rate reform if certain criteria are met. Entities may adopt the provisions of the new standard as of the beginning of the reporting period when the election is made between March 12, 2020 through December 31, 2022. We adopted this standard effective January 1, 2021 using the prospective method, and utilized the optional expedients for cash flow hedges.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and have not been material for all periods presented. A hypothetical 10% increase or decrease in overall foreign currency rates would not have had a material impact on our consolidated financial statements. As our international operations grow, we will continue to evaluate and reassess our approach to managing the risks relating to fluctuations in currency rates.</w:t>
      </w:r>
    </w:p>
    <w:p>
      <w:pPr>
        <w:spacing w:after="0" w:line="31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filed as part of this Annual Report on Form 10-K. See Index to Consolidated Financial Statements on page 41 of this Annual Report on Form 10-K.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RESPONSIBILITY FOR FINANCIAL REPORTING</w:t>
      </w:r>
    </w:p>
    <w:p>
      <w:pPr>
        <w:spacing w:after="0" w:line="229"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The accompanying Consolidated Financial Statements of Mastech Digital, Inc. and subsidiaries have been prepared by management, which is responsible for their integrity and objectivity. The statements have been prepared in conformity with accounting principles generally accepted in the United States of America and necessarily include amounts based on management’s best estimates and judgments.</w:t>
      </w:r>
    </w:p>
    <w:p>
      <w:pPr>
        <w:spacing w:after="0" w:line="16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Company’s Consolidated Financial Statements for the year ended December 31, 2021 have been audited by UHY LLP, an Independent Registered Public Accounting Firm. The Audit opinion is on page 42 of this Annual Report on Form 10-K.</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Board of Directors pursues its responsibility for the Company’s financial reporting and accounting practices through its Audit Committee, all of the members of which are independent directors. The Audit Committee’s duties include recommending to the Board of Directors the Independent Registered Public Accounting Firm to audit the Company’s financial statements, reviewing the scope and results of the independent accountants’ activities and reporting the results of the committee’s activities to the Board of Directors. The Independent Registered Public Accounting Firm has met with the Audit Committee in the presence of management representatives to discuss the results of their audit work. Additionally, the Independent Registered Public Accounting Firm has direct access to the Audit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Vivek Gupta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J. Cronin, Jr.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40"/>
          </w:cols>
          <w:pgMar w:left="320" w:top="486"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MASTECH DIGITAL,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2"/>
            <w:vMerge w:val="restart"/>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Report of Independent Registered Public Accounting Firm</w:t>
              </w:r>
            </w:hyperlink>
          </w:p>
        </w:tc>
        <w:tc>
          <w:tcPr>
            <w:tcW w:w="6440" w:type="dxa"/>
            <w:vAlign w:val="bottom"/>
            <w:gridSpan w:val="6"/>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2"/>
            <w:vMerge w:val="continue"/>
          </w:tcPr>
          <w:p>
            <w:pPr>
              <w:spacing w:after="0"/>
              <w:rPr>
                <w:sz w:val="14"/>
                <w:szCs w:val="14"/>
                <w:color w:val="auto"/>
              </w:rPr>
            </w:pPr>
          </w:p>
        </w:tc>
        <w:tc>
          <w:tcPr>
            <w:tcW w:w="6440" w:type="dxa"/>
            <w:vAlign w:val="bottom"/>
            <w:gridSpan w:val="6"/>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Balance Sheets as of December 31, 2021 and 2020</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 for the years ended December 31, 2021, 2020 and 2019</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Comprehensive Income for the years ended December 31, 2021, 2020 and 2019</w:t>
              </w:r>
            </w:hyperlink>
          </w:p>
        </w:tc>
        <w:tc>
          <w:tcPr>
            <w:tcW w:w="28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Shareholders’ Equity for the years ended December 31, 2021, 2020 and 2019</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7580" w:type="dxa"/>
            <w:vAlign w:val="bottom"/>
            <w:tcBorders>
              <w:top w:val="single" w:sz="8" w:color="0000EE"/>
            </w:tcBorders>
            <w:gridSpan w:val="6"/>
          </w:tcPr>
          <w:p>
            <w:pPr>
              <w:spacing w:after="0" w:line="196"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Consolidated Statements of Cash Flows for the years ended December 31, 2021, 2020 and 2019</w:t>
              </w:r>
            </w:hyperlink>
          </w:p>
        </w:tc>
        <w:tc>
          <w:tcPr>
            <w:tcW w:w="30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69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37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85"/>
        </w:trPr>
        <w:tc>
          <w:tcPr>
            <w:tcW w:w="3140" w:type="dxa"/>
            <w:vAlign w:val="bottom"/>
            <w:tcBorders>
              <w:top w:val="single" w:sz="8" w:color="0000EE"/>
            </w:tcBorders>
          </w:tcPr>
          <w:p>
            <w:pPr>
              <w:spacing w:after="0"/>
              <w:rPr>
                <w:sz w:val="24"/>
                <w:szCs w:val="24"/>
                <w:color w:val="auto"/>
              </w:rPr>
            </w:pPr>
          </w:p>
        </w:tc>
        <w:tc>
          <w:tcPr>
            <w:tcW w:w="3700" w:type="dxa"/>
            <w:vAlign w:val="bottom"/>
            <w:gridSpan w:val="3"/>
          </w:tcPr>
          <w:p>
            <w:pPr>
              <w:jc w:val="right"/>
              <w:ind w:right="124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5740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8604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the Shareholders and the Board of Directors of</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Mastech Digital, Inc.</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have audited the accompanying consolidated balance sheets of Mastech Digital, Inc. and Subsidiaries (the “Company”) as of December 31, 2021 and 2020, and the related consolidated statements of operations, comprehensive income, shareholders’ equity, and cash flows for each of the years in the three-year period ended December 31, 2021, and the related notes and Schedule II, Valuation and Qualifying Accounts listed in the index at item 15(2) (collectively referred to as the “financial statements”). In our opinion, the financial statements referred to above present fairly, in all material respects, the consolidated financial position of Mastech Digital, Inc. and Subsidiaries at December 31, 2021 and 2020, and the consolidated results of their operations and their cash flows for each of the years in the three-year period ended December 31, 2021, in conformity with accounting principles generally accepted in the United States of America.</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an account or disclosure that is material to the financial statements and</w:t>
      </w:r>
    </w:p>
    <w:p>
      <w:pPr>
        <w:ind w:left="120" w:right="40" w:hanging="4"/>
        <w:spacing w:after="0" w:line="255" w:lineRule="auto"/>
        <w:tabs>
          <w:tab w:leader="none" w:pos="3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86"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Critical Audit Matter – Valuation of Goodwill</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As discussed in Notes 1 and 4 to the financial statements, the Company evaluates goodwill for impairment on an annual basis as of October 1 or more frequently if events or changes in circumstances indicate that the carrying value of the asset may not be recoverable. The goodwill balance as of December 31, 2021, was $32.5 million. The Company considers potential impairment by comparing the fair value of a reporting unit to its carrying value. Fair value is estimated by management using a discounted cash flow model.</w:t>
      </w:r>
    </w:p>
    <w:p>
      <w:pPr>
        <w:spacing w:after="0" w:line="17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identified goodwill impairment as a critical audit matter because of the significant judgments made by management to estimate the fair value of the reporting units. This required a high degree of auditor judgment and an increased extent of effort, including our need to involve valuation specialists, when performing audit procedures to evaluate the reasonableness of inputs into the discounted cash flow model driven by management’s estimates and assumptions. Significant management estimates include forecasts for revenue, gross profit, long-term growth rates, and discount rates.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How the Critical Audit Matter Was Addressed in the Audit</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audit procedures performed to evaluate the reasonableness of management’s estimates and assumptions included assessing the methodologies used by the Company and testing the significant assumptions used in the quantitative models. We compared forecasts prepared by management to historical revenues and gross profit to evaluate the reasonableness of the assumptions and to evaluate management’s ability to accurately forecast future revenues and gross profit. We evaluated historical trends in assessing the reasonableness of growth rate assumptions and performed sensitivity analyses of certain significant assumptions to evaluate the changes in the fair value of the reporting units that would result from changes in these assumptions. We performed procedures to verify the mathematical accuracy of the calculations used by management. We involved our valuation specialists to assist us in identifying the significant assumptions underlying the models, assessing the rationale and supporting documents related to these assumptions, and determining the appropriateness and reasonableness of the methodologies employed. Furthermore, we assessed the appropriateness of the disclosures in the financial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38487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Farmington Hills, Michigan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14, 2022</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0"/>
          </w:cols>
          <w:pgMar w:left="320" w:top="486"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MASTECH DIGITAL,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42"/>
        </w:trPr>
        <w:tc>
          <w:tcPr>
            <w:tcW w:w="9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360" w:type="dxa"/>
            <w:vAlign w:val="bottom"/>
            <w:shd w:val="clear" w:color="auto" w:fill="CCEEFF"/>
          </w:tcPr>
          <w:p>
            <w:pPr>
              <w:ind w:left="4340"/>
              <w:spacing w:after="0"/>
              <w:rPr>
                <w:sz w:val="20"/>
                <w:szCs w:val="20"/>
                <w:color w:val="auto"/>
              </w:rPr>
            </w:pPr>
            <w:r>
              <w:rPr>
                <w:rFonts w:ascii="Arial" w:cs="Arial" w:eastAsia="Arial" w:hAnsi="Arial"/>
                <w:sz w:val="15"/>
                <w:szCs w:val="15"/>
                <w:b w:val="1"/>
                <w:bCs w:val="1"/>
                <w:color w:val="auto"/>
              </w:rPr>
              <w:t>ASSETS</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9360" w:type="dxa"/>
            <w:vAlign w:val="bottom"/>
          </w:tcPr>
          <w:p>
            <w:pPr>
              <w:spacing w:after="0"/>
              <w:rPr>
                <w:sz w:val="20"/>
                <w:szCs w:val="20"/>
                <w:color w:val="auto"/>
              </w:rPr>
            </w:pPr>
            <w:r>
              <w:rPr>
                <w:rFonts w:ascii="Arial" w:cs="Arial" w:eastAsia="Arial" w:hAnsi="Arial"/>
                <w:sz w:val="15"/>
                <w:szCs w:val="15"/>
                <w:color w:val="auto"/>
              </w:rPr>
              <w:t>Current assets: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6,622</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7,677</w:t>
            </w:r>
          </w:p>
        </w:tc>
        <w:tc>
          <w:tcPr>
            <w:tcW w:w="0" w:type="dxa"/>
            <w:vAlign w:val="bottom"/>
          </w:tcPr>
          <w:p>
            <w:pPr>
              <w:spacing w:after="0"/>
              <w:rPr>
                <w:sz w:val="1"/>
                <w:szCs w:val="1"/>
                <w:color w:val="auto"/>
              </w:rPr>
            </w:pPr>
          </w:p>
        </w:tc>
      </w:tr>
      <w:tr>
        <w:trPr>
          <w:trHeight w:val="175"/>
        </w:trPr>
        <w:tc>
          <w:tcPr>
            <w:tcW w:w="9360" w:type="dxa"/>
            <w:vAlign w:val="bottom"/>
          </w:tcPr>
          <w:p>
            <w:pPr>
              <w:ind w:left="300"/>
              <w:spacing w:after="0"/>
              <w:rPr>
                <w:sz w:val="20"/>
                <w:szCs w:val="20"/>
                <w:color w:val="auto"/>
              </w:rPr>
            </w:pPr>
            <w:r>
              <w:rPr>
                <w:rFonts w:ascii="Arial" w:cs="Arial" w:eastAsia="Arial" w:hAnsi="Arial"/>
                <w:sz w:val="15"/>
                <w:szCs w:val="15"/>
                <w:color w:val="auto"/>
              </w:rPr>
              <w:t>Accounts receivable, net of allowance for uncollectible accounts of $375 in 2021 and $413 in 2020</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34,153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22,036</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Unbilled receivables</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9,240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10,098</w:t>
            </w:r>
          </w:p>
        </w:tc>
        <w:tc>
          <w:tcPr>
            <w:tcW w:w="0" w:type="dxa"/>
            <w:vAlign w:val="bottom"/>
          </w:tcPr>
          <w:p>
            <w:pPr>
              <w:spacing w:after="0"/>
              <w:rPr>
                <w:sz w:val="1"/>
                <w:szCs w:val="1"/>
                <w:color w:val="auto"/>
              </w:rPr>
            </w:pPr>
          </w:p>
        </w:tc>
      </w:tr>
      <w:tr>
        <w:trPr>
          <w:trHeight w:val="175"/>
        </w:trPr>
        <w:tc>
          <w:tcPr>
            <w:tcW w:w="9360" w:type="dxa"/>
            <w:vAlign w:val="bottom"/>
          </w:tcPr>
          <w:p>
            <w:pPr>
              <w:ind w:left="300"/>
              <w:spacing w:after="0"/>
              <w:rPr>
                <w:sz w:val="20"/>
                <w:szCs w:val="20"/>
                <w:color w:val="auto"/>
              </w:rPr>
            </w:pPr>
            <w:r>
              <w:rPr>
                <w:rFonts w:ascii="Arial" w:cs="Arial" w:eastAsia="Arial" w:hAnsi="Arial"/>
                <w:sz w:val="15"/>
                <w:szCs w:val="15"/>
                <w:color w:val="auto"/>
              </w:rPr>
              <w:t>Prepaid and other current assets</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3,890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1,346</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current assets</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53,905</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41,157</w:t>
            </w:r>
          </w:p>
        </w:tc>
        <w:tc>
          <w:tcPr>
            <w:tcW w:w="0" w:type="dxa"/>
            <w:vAlign w:val="bottom"/>
          </w:tcPr>
          <w:p>
            <w:pPr>
              <w:spacing w:after="0"/>
              <w:rPr>
                <w:sz w:val="1"/>
                <w:szCs w:val="1"/>
                <w:color w:val="auto"/>
              </w:rPr>
            </w:pPr>
          </w:p>
        </w:tc>
      </w:tr>
      <w:tr>
        <w:trPr>
          <w:trHeight w:val="198"/>
        </w:trPr>
        <w:tc>
          <w:tcPr>
            <w:tcW w:w="9360" w:type="dxa"/>
            <w:vAlign w:val="bottom"/>
          </w:tcPr>
          <w:p>
            <w:pPr>
              <w:spacing w:after="0"/>
              <w:rPr>
                <w:sz w:val="20"/>
                <w:szCs w:val="20"/>
                <w:color w:val="auto"/>
              </w:rPr>
            </w:pPr>
            <w:r>
              <w:rPr>
                <w:rFonts w:ascii="Arial" w:cs="Arial" w:eastAsia="Arial" w:hAnsi="Arial"/>
                <w:sz w:val="15"/>
                <w:szCs w:val="15"/>
                <w:color w:val="auto"/>
              </w:rPr>
              <w:t>Equipment, enterprise software, and leasehold improvements, at cost: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Equipment</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1,931</w:t>
            </w:r>
          </w:p>
        </w:tc>
        <w:tc>
          <w:tcPr>
            <w:tcW w:w="0" w:type="dxa"/>
            <w:vAlign w:val="bottom"/>
          </w:tcPr>
          <w:p>
            <w:pPr>
              <w:spacing w:after="0"/>
              <w:rPr>
                <w:sz w:val="1"/>
                <w:szCs w:val="1"/>
                <w:color w:val="auto"/>
              </w:rPr>
            </w:pPr>
          </w:p>
        </w:tc>
      </w:tr>
      <w:tr>
        <w:trPr>
          <w:trHeight w:val="176"/>
        </w:trPr>
        <w:tc>
          <w:tcPr>
            <w:tcW w:w="9360" w:type="dxa"/>
            <w:vAlign w:val="bottom"/>
          </w:tcPr>
          <w:p>
            <w:pPr>
              <w:ind w:left="300"/>
              <w:spacing w:after="0"/>
              <w:rPr>
                <w:sz w:val="20"/>
                <w:szCs w:val="20"/>
                <w:color w:val="auto"/>
              </w:rPr>
            </w:pPr>
            <w:r>
              <w:rPr>
                <w:rFonts w:ascii="Arial" w:cs="Arial" w:eastAsia="Arial" w:hAnsi="Arial"/>
                <w:sz w:val="15"/>
                <w:szCs w:val="15"/>
                <w:color w:val="auto"/>
              </w:rPr>
              <w:t>Enterprise software</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3,753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2,730</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Leasehold improvements</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563</w:t>
            </w:r>
          </w:p>
        </w:tc>
        <w:tc>
          <w:tcPr>
            <w:tcW w:w="0" w:type="dxa"/>
            <w:vAlign w:val="bottom"/>
          </w:tcPr>
          <w:p>
            <w:pPr>
              <w:spacing w:after="0"/>
              <w:rPr>
                <w:sz w:val="1"/>
                <w:szCs w:val="1"/>
                <w:color w:val="auto"/>
              </w:rPr>
            </w:pPr>
          </w:p>
        </w:tc>
      </w:tr>
      <w:tr>
        <w:trPr>
          <w:trHeight w:val="209"/>
        </w:trPr>
        <w:tc>
          <w:tcPr>
            <w:tcW w:w="9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6,951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Less – accumulated depreciation and amortization</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(3,913)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(3,253)</w:t>
            </w:r>
          </w:p>
        </w:tc>
        <w:tc>
          <w:tcPr>
            <w:tcW w:w="0" w:type="dxa"/>
            <w:vAlign w:val="bottom"/>
          </w:tcPr>
          <w:p>
            <w:pPr>
              <w:spacing w:after="0"/>
              <w:rPr>
                <w:sz w:val="1"/>
                <w:szCs w:val="1"/>
                <w:color w:val="auto"/>
              </w:rPr>
            </w:pPr>
          </w:p>
        </w:tc>
      </w:tr>
      <w:tr>
        <w:trPr>
          <w:trHeight w:val="174"/>
        </w:trPr>
        <w:tc>
          <w:tcPr>
            <w:tcW w:w="9360" w:type="dxa"/>
            <w:vAlign w:val="bottom"/>
          </w:tcPr>
          <w:p>
            <w:pPr>
              <w:spacing w:after="0"/>
              <w:rPr>
                <w:sz w:val="20"/>
                <w:szCs w:val="20"/>
                <w:color w:val="auto"/>
              </w:rPr>
            </w:pPr>
            <w:r>
              <w:rPr>
                <w:rFonts w:ascii="Arial" w:cs="Arial" w:eastAsia="Arial" w:hAnsi="Arial"/>
                <w:sz w:val="15"/>
                <w:szCs w:val="15"/>
                <w:color w:val="auto"/>
              </w:rPr>
              <w:t>Net equipment, enterprise software, and leasehold improvements</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3,038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1,971</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9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9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lease right-of-use assets</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4,894</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3,286</w:t>
            </w:r>
          </w:p>
        </w:tc>
        <w:tc>
          <w:tcPr>
            <w:tcW w:w="0" w:type="dxa"/>
            <w:vAlign w:val="bottom"/>
          </w:tcPr>
          <w:p>
            <w:pPr>
              <w:spacing w:after="0"/>
              <w:rPr>
                <w:sz w:val="1"/>
                <w:szCs w:val="1"/>
                <w:color w:val="auto"/>
              </w:rPr>
            </w:pPr>
          </w:p>
        </w:tc>
      </w:tr>
      <w:tr>
        <w:trPr>
          <w:trHeight w:val="175"/>
        </w:trPr>
        <w:tc>
          <w:tcPr>
            <w:tcW w:w="9360" w:type="dxa"/>
            <w:vAlign w:val="bottom"/>
          </w:tcPr>
          <w:p>
            <w:pPr>
              <w:spacing w:after="0"/>
              <w:rPr>
                <w:sz w:val="20"/>
                <w:szCs w:val="20"/>
                <w:color w:val="auto"/>
              </w:rPr>
            </w:pPr>
            <w:r>
              <w:rPr>
                <w:rFonts w:ascii="Arial" w:cs="Arial" w:eastAsia="Arial" w:hAnsi="Arial"/>
                <w:sz w:val="15"/>
                <w:szCs w:val="15"/>
                <w:color w:val="auto"/>
              </w:rPr>
              <w:t>Deferred income taxes</w:t>
            </w: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796</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Non-current deposits</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396</w:t>
            </w:r>
          </w:p>
        </w:tc>
        <w:tc>
          <w:tcPr>
            <w:tcW w:w="0" w:type="dxa"/>
            <w:vAlign w:val="bottom"/>
          </w:tcPr>
          <w:p>
            <w:pPr>
              <w:spacing w:after="0"/>
              <w:rPr>
                <w:sz w:val="1"/>
                <w:szCs w:val="1"/>
                <w:color w:val="auto"/>
              </w:rPr>
            </w:pPr>
          </w:p>
        </w:tc>
      </w:tr>
      <w:tr>
        <w:trPr>
          <w:trHeight w:val="175"/>
        </w:trPr>
        <w:tc>
          <w:tcPr>
            <w:tcW w:w="9360" w:type="dxa"/>
            <w:vAlign w:val="bottom"/>
          </w:tcPr>
          <w:p>
            <w:pPr>
              <w:spacing w:after="0"/>
              <w:rPr>
                <w:sz w:val="20"/>
                <w:szCs w:val="20"/>
                <w:color w:val="auto"/>
              </w:rPr>
            </w:pPr>
            <w:r>
              <w:rPr>
                <w:rFonts w:ascii="Arial" w:cs="Arial" w:eastAsia="Arial" w:hAnsi="Arial"/>
                <w:sz w:val="15"/>
                <w:szCs w:val="15"/>
                <w:color w:val="auto"/>
              </w:rPr>
              <w:t>Goodwill, net of impairment</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32,510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32,510</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Intangible assets, net of amortization</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18,760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21,930</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600"/>
              <w:spacing w:after="0"/>
              <w:rPr>
                <w:sz w:val="20"/>
                <w:szCs w:val="20"/>
                <w:color w:val="auto"/>
              </w:rPr>
            </w:pPr>
            <w:r>
              <w:rPr>
                <w:rFonts w:ascii="Arial" w:cs="Arial" w:eastAsia="Arial" w:hAnsi="Arial"/>
                <w:sz w:val="15"/>
                <w:szCs w:val="15"/>
                <w:color w:val="auto"/>
              </w:rPr>
              <w:t>Total assets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36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w w:val="95"/>
              </w:rPr>
              <w:t>113,702</w:t>
            </w:r>
          </w:p>
        </w:tc>
        <w:tc>
          <w:tcPr>
            <w:tcW w:w="140" w:type="dxa"/>
            <w:vAlign w:val="bottom"/>
          </w:tcPr>
          <w:p>
            <w:pPr>
              <w:spacing w:after="0"/>
              <w:rPr>
                <w:sz w:val="15"/>
                <w:szCs w:val="15"/>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w w:val="99"/>
              </w:rPr>
              <w:t>102,046</w:t>
            </w:r>
          </w:p>
        </w:tc>
        <w:tc>
          <w:tcPr>
            <w:tcW w:w="0" w:type="dxa"/>
            <w:vAlign w:val="bottom"/>
          </w:tcPr>
          <w:p>
            <w:pPr>
              <w:spacing w:after="0"/>
              <w:rPr>
                <w:sz w:val="1"/>
                <w:szCs w:val="1"/>
                <w:color w:val="auto"/>
              </w:rPr>
            </w:pPr>
          </w:p>
        </w:tc>
      </w:tr>
      <w:tr>
        <w:trPr>
          <w:trHeight w:val="35"/>
        </w:trPr>
        <w:tc>
          <w:tcPr>
            <w:tcW w:w="93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1">
            <w:col w:w="11140"/>
          </w:cols>
          <w:pgMar w:left="320" w:top="486" w:right="439" w:bottom="1440" w:gutter="0" w:footer="0" w:header="0"/>
        </w:sectPr>
      </w:pPr>
    </w:p>
    <w:p>
      <w:pPr>
        <w:jc w:val="center"/>
        <w:ind w:left="720"/>
        <w:spacing w:after="0"/>
        <w:rPr>
          <w:sz w:val="20"/>
          <w:szCs w:val="20"/>
          <w:color w:val="auto"/>
        </w:rPr>
      </w:pPr>
      <w:r>
        <w:rPr>
          <w:rFonts w:ascii="Arial" w:cs="Arial" w:eastAsia="Arial" w:hAnsi="Arial"/>
          <w:sz w:val="15"/>
          <w:szCs w:val="15"/>
          <w:b w:val="1"/>
          <w:bCs w:val="1"/>
          <w:color w:val="auto"/>
        </w:rPr>
        <w:t>LIABILITIES AND SHAREHOLDERS’ EQUITY</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Current portion of long-term debt</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Accrued payroll and related costs</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Current portion of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Other accrued liabilities</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both"/>
        <w:spacing w:after="0"/>
        <w:tabs>
          <w:tab w:leader="none" w:pos="280" w:val="left"/>
          <w:tab w:leader="none" w:pos="840" w:val="left"/>
          <w:tab w:leader="none" w:pos="11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4,400</w:t>
        <w:tab/>
        <w:t>$</w:t>
      </w:r>
      <w:r>
        <w:rPr>
          <w:sz w:val="20"/>
          <w:szCs w:val="20"/>
          <w:color w:val="auto"/>
        </w:rPr>
        <w:tab/>
      </w:r>
      <w:r>
        <w:rPr>
          <w:rFonts w:ascii="Arial" w:cs="Arial" w:eastAsia="Arial" w:hAnsi="Arial"/>
          <w:sz w:val="14"/>
          <w:szCs w:val="14"/>
          <w:color w:val="auto"/>
        </w:rPr>
        <w:t>4,400</w:t>
      </w:r>
    </w:p>
    <w:p>
      <w:pPr>
        <w:spacing w:after="0" w:line="30" w:lineRule="exact"/>
        <w:rPr>
          <w:sz w:val="20"/>
          <w:szCs w:val="20"/>
          <w:color w:val="auto"/>
        </w:rPr>
      </w:pPr>
    </w:p>
    <w:p>
      <w:pPr>
        <w:jc w:val="both"/>
        <w:ind w:left="300"/>
        <w:spacing w:after="0"/>
        <w:tabs>
          <w:tab w:leader="none" w:pos="1160" w:val="left"/>
        </w:tabs>
        <w:rPr>
          <w:sz w:val="20"/>
          <w:szCs w:val="20"/>
          <w:color w:val="auto"/>
        </w:rPr>
      </w:pPr>
      <w:r>
        <w:rPr>
          <w:rFonts w:ascii="Arial" w:cs="Arial" w:eastAsia="Arial" w:hAnsi="Arial"/>
          <w:sz w:val="15"/>
          <w:szCs w:val="15"/>
          <w:color w:val="auto"/>
        </w:rPr>
        <w:t>4,954</w:t>
      </w:r>
      <w:r>
        <w:rPr>
          <w:sz w:val="20"/>
          <w:szCs w:val="20"/>
          <w:color w:val="auto"/>
        </w:rPr>
        <w:tab/>
      </w:r>
      <w:r>
        <w:rPr>
          <w:rFonts w:ascii="Arial" w:cs="Arial" w:eastAsia="Arial" w:hAnsi="Arial"/>
          <w:sz w:val="15"/>
          <w:szCs w:val="15"/>
          <w:color w:val="auto"/>
        </w:rPr>
        <w:t>2,589</w:t>
      </w:r>
    </w:p>
    <w:p>
      <w:pPr>
        <w:spacing w:after="0" w:line="30" w:lineRule="exact"/>
        <w:rPr>
          <w:sz w:val="20"/>
          <w:szCs w:val="20"/>
          <w:color w:val="auto"/>
        </w:rPr>
      </w:pPr>
    </w:p>
    <w:p>
      <w:pPr>
        <w:jc w:val="both"/>
        <w:ind w:left="220"/>
        <w:spacing w:after="0"/>
        <w:tabs>
          <w:tab w:leader="none" w:pos="1100" w:val="left"/>
        </w:tabs>
        <w:rPr>
          <w:sz w:val="20"/>
          <w:szCs w:val="20"/>
          <w:color w:val="auto"/>
        </w:rPr>
      </w:pPr>
      <w:r>
        <w:rPr>
          <w:rFonts w:ascii="Arial" w:cs="Arial" w:eastAsia="Arial" w:hAnsi="Arial"/>
          <w:sz w:val="15"/>
          <w:szCs w:val="15"/>
          <w:color w:val="auto"/>
        </w:rPr>
        <w:t>14,240</w:t>
      </w:r>
      <w:r>
        <w:rPr>
          <w:sz w:val="20"/>
          <w:szCs w:val="20"/>
          <w:color w:val="auto"/>
        </w:rPr>
        <w:tab/>
      </w:r>
      <w:r>
        <w:rPr>
          <w:rFonts w:ascii="Arial" w:cs="Arial" w:eastAsia="Arial" w:hAnsi="Arial"/>
          <w:sz w:val="15"/>
          <w:szCs w:val="15"/>
          <w:color w:val="auto"/>
        </w:rPr>
        <w:t>12,374</w:t>
      </w:r>
    </w:p>
    <w:p>
      <w:pPr>
        <w:spacing w:after="0" w:line="30" w:lineRule="exact"/>
        <w:rPr>
          <w:sz w:val="20"/>
          <w:szCs w:val="20"/>
          <w:color w:val="auto"/>
        </w:rPr>
      </w:pPr>
    </w:p>
    <w:p>
      <w:pPr>
        <w:jc w:val="both"/>
        <w:ind w:left="300"/>
        <w:spacing w:after="0"/>
        <w:tabs>
          <w:tab w:leader="none" w:pos="1160" w:val="left"/>
        </w:tabs>
        <w:rPr>
          <w:sz w:val="20"/>
          <w:szCs w:val="20"/>
          <w:color w:val="auto"/>
        </w:rPr>
      </w:pPr>
      <w:r>
        <w:rPr>
          <w:rFonts w:ascii="Arial" w:cs="Arial" w:eastAsia="Arial" w:hAnsi="Arial"/>
          <w:sz w:val="15"/>
          <w:szCs w:val="15"/>
          <w:color w:val="auto"/>
        </w:rPr>
        <w:t>1,479</w:t>
      </w:r>
      <w:r>
        <w:rPr>
          <w:sz w:val="20"/>
          <w:szCs w:val="20"/>
          <w:color w:val="auto"/>
        </w:rPr>
        <w:tab/>
      </w:r>
      <w:r>
        <w:rPr>
          <w:rFonts w:ascii="Arial" w:cs="Arial" w:eastAsia="Arial" w:hAnsi="Arial"/>
          <w:sz w:val="15"/>
          <w:szCs w:val="15"/>
          <w:color w:val="auto"/>
        </w:rPr>
        <w:t>1,079</w:t>
      </w:r>
    </w:p>
    <w:p>
      <w:pPr>
        <w:spacing w:after="0" w:line="30" w:lineRule="exact"/>
        <w:rPr>
          <w:sz w:val="20"/>
          <w:szCs w:val="20"/>
          <w:color w:val="auto"/>
        </w:rPr>
      </w:pPr>
    </w:p>
    <w:p>
      <w:pPr>
        <w:jc w:val="both"/>
        <w:ind w:left="300"/>
        <w:spacing w:after="0"/>
        <w:tabs>
          <w:tab w:leader="none" w:pos="1160" w:val="left"/>
        </w:tabs>
        <w:rPr>
          <w:sz w:val="20"/>
          <w:szCs w:val="20"/>
          <w:color w:val="auto"/>
        </w:rPr>
      </w:pPr>
      <w:r>
        <w:rPr>
          <w:rFonts w:ascii="Arial" w:cs="Arial" w:eastAsia="Arial" w:hAnsi="Arial"/>
          <w:sz w:val="15"/>
          <w:szCs w:val="15"/>
          <w:color w:val="auto"/>
        </w:rPr>
        <w:t>1,227</w:t>
      </w:r>
      <w:r>
        <w:rPr>
          <w:sz w:val="20"/>
          <w:szCs w:val="20"/>
          <w:color w:val="auto"/>
        </w:rPr>
        <w:tab/>
      </w:r>
      <w:r>
        <w:rPr>
          <w:rFonts w:ascii="Arial" w:cs="Arial" w:eastAsia="Arial" w:hAnsi="Arial"/>
          <w:sz w:val="15"/>
          <w:szCs w:val="15"/>
          <w:color w:val="auto"/>
        </w:rPr>
        <w:t>1,051</w:t>
      </w:r>
    </w:p>
    <w:p>
      <w:pPr>
        <w:spacing w:after="0" w:line="30" w:lineRule="exact"/>
        <w:rPr>
          <w:sz w:val="20"/>
          <w:szCs w:val="20"/>
          <w:color w:val="auto"/>
        </w:rPr>
      </w:pPr>
    </w:p>
    <w:p>
      <w:pPr>
        <w:jc w:val="both"/>
        <w:ind w:left="420"/>
        <w:spacing w:after="0"/>
        <w:tabs>
          <w:tab w:leader="none" w:pos="1280" w:val="left"/>
        </w:tabs>
        <w:rPr>
          <w:sz w:val="20"/>
          <w:szCs w:val="20"/>
          <w:color w:val="auto"/>
        </w:rPr>
      </w:pPr>
      <w:r>
        <w:rPr>
          <w:rFonts w:ascii="Arial" w:cs="Arial" w:eastAsia="Arial" w:hAnsi="Arial"/>
          <w:sz w:val="15"/>
          <w:szCs w:val="15"/>
          <w:color w:val="auto"/>
        </w:rPr>
        <w:t>544</w:t>
      </w:r>
      <w:r>
        <w:rPr>
          <w:sz w:val="20"/>
          <w:szCs w:val="20"/>
          <w:color w:val="auto"/>
        </w:rPr>
        <w:tab/>
      </w:r>
      <w:r>
        <w:rPr>
          <w:rFonts w:ascii="Arial" w:cs="Arial" w:eastAsia="Arial" w:hAnsi="Arial"/>
          <w:sz w:val="15"/>
          <w:szCs w:val="15"/>
          <w:color w:val="auto"/>
        </w:rPr>
        <w:t>478</w:t>
      </w:r>
    </w:p>
    <w:p>
      <w:pPr>
        <w:spacing w:after="0" w:line="3" w:lineRule="exact"/>
        <w:rPr>
          <w:sz w:val="20"/>
          <w:szCs w:val="20"/>
          <w:color w:val="auto"/>
        </w:rPr>
      </w:pPr>
    </w:p>
    <w:p>
      <w:pPr>
        <w:sectPr>
          <w:pgSz w:w="11900" w:h="16838" w:orient="portrait"/>
          <w:cols w:equalWidth="0" w:num="2">
            <w:col w:w="8760" w:space="720"/>
            <w:col w:w="1660"/>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183"/>
        </w:trPr>
        <w:tc>
          <w:tcPr>
            <w:tcW w:w="9360" w:type="dxa"/>
            <w:vAlign w:val="bottom"/>
          </w:tcPr>
          <w:p>
            <w:pPr>
              <w:ind w:left="300"/>
              <w:spacing w:after="0"/>
              <w:rPr>
                <w:sz w:val="20"/>
                <w:szCs w:val="20"/>
                <w:color w:val="auto"/>
              </w:rPr>
            </w:pPr>
            <w:r>
              <w:rPr>
                <w:rFonts w:ascii="Arial" w:cs="Arial" w:eastAsia="Arial" w:hAnsi="Arial"/>
                <w:sz w:val="15"/>
                <w:szCs w:val="15"/>
                <w:color w:val="auto"/>
              </w:rPr>
              <w:t>Total current liabilities</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26,844</w:t>
            </w:r>
          </w:p>
        </w:tc>
        <w:tc>
          <w:tcPr>
            <w:tcW w:w="14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21,971</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360" w:type="dxa"/>
            <w:vAlign w:val="bottom"/>
            <w:shd w:val="clear" w:color="auto" w:fill="CCEEFF"/>
          </w:tcPr>
          <w:p>
            <w:pPr>
              <w:spacing w:after="0"/>
              <w:rPr>
                <w:sz w:val="20"/>
                <w:szCs w:val="20"/>
                <w:color w:val="auto"/>
              </w:rPr>
            </w:pPr>
            <w:r>
              <w:rPr>
                <w:rFonts w:ascii="Arial" w:cs="Arial" w:eastAsia="Arial" w:hAnsi="Arial"/>
                <w:sz w:val="15"/>
                <w:szCs w:val="15"/>
                <w:color w:val="auto"/>
              </w:rPr>
              <w:t>Long-term liabilities: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360" w:type="dxa"/>
            <w:vAlign w:val="bottom"/>
          </w:tcPr>
          <w:p>
            <w:pPr>
              <w:ind w:left="300"/>
              <w:spacing w:after="0"/>
              <w:rPr>
                <w:sz w:val="20"/>
                <w:szCs w:val="20"/>
                <w:color w:val="auto"/>
              </w:rPr>
            </w:pPr>
            <w:r>
              <w:rPr>
                <w:rFonts w:ascii="Arial" w:cs="Arial" w:eastAsia="Arial" w:hAnsi="Arial"/>
                <w:sz w:val="15"/>
                <w:szCs w:val="15"/>
                <w:color w:val="auto"/>
              </w:rPr>
              <w:t>Long-term debt, less current portion, net</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8,334</w:t>
            </w:r>
          </w:p>
        </w:tc>
        <w:tc>
          <w:tcPr>
            <w:tcW w:w="140" w:type="dxa"/>
            <w:vAlign w:val="bottom"/>
          </w:tcPr>
          <w:p>
            <w:pPr>
              <w:spacing w:after="0"/>
              <w:rPr>
                <w:sz w:val="15"/>
                <w:szCs w:val="15"/>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12,875</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Contingent consideration liability</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2,882</w:t>
            </w:r>
          </w:p>
        </w:tc>
        <w:tc>
          <w:tcPr>
            <w:tcW w:w="0" w:type="dxa"/>
            <w:vAlign w:val="bottom"/>
          </w:tcPr>
          <w:p>
            <w:pPr>
              <w:spacing w:after="0"/>
              <w:rPr>
                <w:sz w:val="1"/>
                <w:szCs w:val="1"/>
                <w:color w:val="auto"/>
              </w:rPr>
            </w:pPr>
          </w:p>
        </w:tc>
      </w:tr>
      <w:tr>
        <w:trPr>
          <w:trHeight w:val="175"/>
        </w:trPr>
        <w:tc>
          <w:tcPr>
            <w:tcW w:w="9360" w:type="dxa"/>
            <w:vAlign w:val="bottom"/>
          </w:tcPr>
          <w:p>
            <w:pPr>
              <w:ind w:left="300"/>
              <w:spacing w:after="0"/>
              <w:rPr>
                <w:sz w:val="20"/>
                <w:szCs w:val="20"/>
                <w:color w:val="auto"/>
              </w:rPr>
            </w:pPr>
            <w:r>
              <w:rPr>
                <w:rFonts w:ascii="Arial" w:cs="Arial" w:eastAsia="Arial" w:hAnsi="Arial"/>
                <w:sz w:val="15"/>
                <w:szCs w:val="15"/>
                <w:color w:val="auto"/>
              </w:rPr>
              <w:t>Long-term operating lease liability, less current portion</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3,706</w:t>
            </w:r>
          </w:p>
        </w:tc>
        <w:tc>
          <w:tcPr>
            <w:tcW w:w="140" w:type="dxa"/>
            <w:vAlign w:val="bottom"/>
          </w:tcPr>
          <w:p>
            <w:pPr>
              <w:spacing w:after="0"/>
              <w:rPr>
                <w:sz w:val="15"/>
                <w:szCs w:val="15"/>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2,325</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Long-term accrued income taxes</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75"/>
        </w:trPr>
        <w:tc>
          <w:tcPr>
            <w:tcW w:w="9360" w:type="dxa"/>
            <w:vAlign w:val="bottom"/>
          </w:tcPr>
          <w:p>
            <w:pPr>
              <w:ind w:left="300"/>
              <w:spacing w:after="0"/>
              <w:rPr>
                <w:sz w:val="20"/>
                <w:szCs w:val="20"/>
                <w:color w:val="auto"/>
              </w:rPr>
            </w:pPr>
            <w:r>
              <w:rPr>
                <w:rFonts w:ascii="Arial" w:cs="Arial" w:eastAsia="Arial" w:hAnsi="Arial"/>
                <w:sz w:val="15"/>
                <w:szCs w:val="15"/>
                <w:color w:val="auto"/>
              </w:rPr>
              <w:t>Deferred income taxes</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265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Long-term payroll tax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2,295</w:t>
            </w:r>
          </w:p>
        </w:tc>
        <w:tc>
          <w:tcPr>
            <w:tcW w:w="0" w:type="dxa"/>
            <w:vAlign w:val="bottom"/>
          </w:tcPr>
          <w:p>
            <w:pPr>
              <w:spacing w:after="0"/>
              <w:rPr>
                <w:sz w:val="1"/>
                <w:szCs w:val="1"/>
                <w:color w:val="auto"/>
              </w:rPr>
            </w:pPr>
          </w:p>
        </w:tc>
      </w:tr>
      <w:tr>
        <w:trPr>
          <w:trHeight w:val="175"/>
        </w:trPr>
        <w:tc>
          <w:tcPr>
            <w:tcW w:w="9360" w:type="dxa"/>
            <w:vAlign w:val="bottom"/>
          </w:tcPr>
          <w:p>
            <w:pPr>
              <w:ind w:left="300"/>
              <w:spacing w:after="0"/>
              <w:rPr>
                <w:sz w:val="20"/>
                <w:szCs w:val="20"/>
                <w:color w:val="auto"/>
              </w:rPr>
            </w:pPr>
            <w:r>
              <w:rPr>
                <w:rFonts w:ascii="Arial" w:cs="Arial" w:eastAsia="Arial" w:hAnsi="Arial"/>
                <w:sz w:val="15"/>
                <w:szCs w:val="15"/>
                <w:color w:val="auto"/>
              </w:rPr>
              <w:t>Total liabilities</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39,274</w:t>
            </w:r>
          </w:p>
        </w:tc>
        <w:tc>
          <w:tcPr>
            <w:tcW w:w="14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42,513</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9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936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contingent liabilities (Note 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360" w:type="dxa"/>
            <w:vAlign w:val="bottom"/>
          </w:tcPr>
          <w:p>
            <w:pPr>
              <w:spacing w:after="0"/>
              <w:rPr>
                <w:sz w:val="20"/>
                <w:szCs w:val="20"/>
                <w:color w:val="auto"/>
              </w:rPr>
            </w:pPr>
            <w:r>
              <w:rPr>
                <w:rFonts w:ascii="Arial" w:cs="Arial" w:eastAsia="Arial" w:hAnsi="Arial"/>
                <w:sz w:val="15"/>
                <w:szCs w:val="15"/>
                <w:color w:val="auto"/>
              </w:rPr>
              <w:t>Shareholders’ equity:</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Preferred Stock, no par value; 20,000,000 shares authorized; none outstanding</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2"/>
        </w:trPr>
        <w:tc>
          <w:tcPr>
            <w:tcW w:w="9360" w:type="dxa"/>
            <w:vAlign w:val="bottom"/>
          </w:tcPr>
          <w:p>
            <w:pPr>
              <w:ind w:left="300"/>
              <w:spacing w:after="0" w:line="122" w:lineRule="exact"/>
              <w:rPr>
                <w:sz w:val="20"/>
                <w:szCs w:val="20"/>
                <w:color w:val="auto"/>
              </w:rPr>
            </w:pPr>
            <w:r>
              <w:rPr>
                <w:rFonts w:ascii="Arial" w:cs="Arial" w:eastAsia="Arial" w:hAnsi="Arial"/>
                <w:sz w:val="14"/>
                <w:szCs w:val="14"/>
                <w:color w:val="auto"/>
              </w:rPr>
              <w:t>Common Stock, par value $.01; 250,000,000 shares authorized and 13,112,202 shares issued as of December 31, 2021 and 13,039,893 shares</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131</w:t>
            </w:r>
          </w:p>
        </w:tc>
        <w:tc>
          <w:tcPr>
            <w:tcW w:w="140" w:type="dxa"/>
            <w:vAlign w:val="bottom"/>
          </w:tcPr>
          <w:p>
            <w:pPr>
              <w:spacing w:after="0"/>
              <w:rPr>
                <w:sz w:val="10"/>
                <w:szCs w:val="10"/>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130</w:t>
            </w:r>
          </w:p>
        </w:tc>
        <w:tc>
          <w:tcPr>
            <w:tcW w:w="0" w:type="dxa"/>
            <w:vAlign w:val="bottom"/>
          </w:tcPr>
          <w:p>
            <w:pPr>
              <w:spacing w:after="0"/>
              <w:rPr>
                <w:sz w:val="1"/>
                <w:szCs w:val="1"/>
                <w:color w:val="auto"/>
              </w:rPr>
            </w:pPr>
          </w:p>
        </w:tc>
      </w:tr>
      <w:tr>
        <w:trPr>
          <w:trHeight w:val="175"/>
        </w:trPr>
        <w:tc>
          <w:tcPr>
            <w:tcW w:w="9360" w:type="dxa"/>
            <w:vAlign w:val="bottom"/>
          </w:tcPr>
          <w:p>
            <w:pPr>
              <w:ind w:left="460"/>
              <w:spacing w:after="0"/>
              <w:rPr>
                <w:sz w:val="20"/>
                <w:szCs w:val="20"/>
                <w:color w:val="auto"/>
              </w:rPr>
            </w:pPr>
            <w:r>
              <w:rPr>
                <w:rFonts w:ascii="Arial" w:cs="Arial" w:eastAsia="Arial" w:hAnsi="Arial"/>
                <w:sz w:val="15"/>
                <w:szCs w:val="15"/>
                <w:color w:val="auto"/>
              </w:rPr>
              <w:t>issued as of December 31, 2020</w:t>
            </w: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Additional paid-in-capital</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28,250</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25,509</w:t>
            </w:r>
          </w:p>
        </w:tc>
        <w:tc>
          <w:tcPr>
            <w:tcW w:w="0" w:type="dxa"/>
            <w:vAlign w:val="bottom"/>
          </w:tcPr>
          <w:p>
            <w:pPr>
              <w:spacing w:after="0"/>
              <w:rPr>
                <w:sz w:val="1"/>
                <w:szCs w:val="1"/>
                <w:color w:val="auto"/>
              </w:rPr>
            </w:pPr>
          </w:p>
        </w:tc>
      </w:tr>
      <w:tr>
        <w:trPr>
          <w:trHeight w:val="175"/>
        </w:trPr>
        <w:tc>
          <w:tcPr>
            <w:tcW w:w="9360" w:type="dxa"/>
            <w:vAlign w:val="bottom"/>
          </w:tcPr>
          <w:p>
            <w:pPr>
              <w:ind w:left="300"/>
              <w:spacing w:after="0"/>
              <w:rPr>
                <w:sz w:val="20"/>
                <w:szCs w:val="20"/>
                <w:color w:val="auto"/>
              </w:rPr>
            </w:pPr>
            <w:r>
              <w:rPr>
                <w:rFonts w:ascii="Arial" w:cs="Arial" w:eastAsia="Arial" w:hAnsi="Arial"/>
                <w:sz w:val="15"/>
                <w:szCs w:val="15"/>
                <w:color w:val="auto"/>
              </w:rPr>
              <w:t>Retained earnings</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50,841</w:t>
            </w:r>
          </w:p>
        </w:tc>
        <w:tc>
          <w:tcPr>
            <w:tcW w:w="140" w:type="dxa"/>
            <w:vAlign w:val="bottom"/>
          </w:tcPr>
          <w:p>
            <w:pPr>
              <w:spacing w:after="0"/>
              <w:rPr>
                <w:sz w:val="15"/>
                <w:szCs w:val="15"/>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38,620</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Accumulated other comprehensive income (loss)</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(607)</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(539)</w:t>
            </w:r>
          </w:p>
        </w:tc>
        <w:tc>
          <w:tcPr>
            <w:tcW w:w="0" w:type="dxa"/>
            <w:vAlign w:val="bottom"/>
          </w:tcPr>
          <w:p>
            <w:pPr>
              <w:spacing w:after="0"/>
              <w:rPr>
                <w:sz w:val="1"/>
                <w:szCs w:val="1"/>
                <w:color w:val="auto"/>
              </w:rPr>
            </w:pPr>
          </w:p>
        </w:tc>
      </w:tr>
      <w:tr>
        <w:trPr>
          <w:trHeight w:val="175"/>
        </w:trPr>
        <w:tc>
          <w:tcPr>
            <w:tcW w:w="9360" w:type="dxa"/>
            <w:vAlign w:val="bottom"/>
          </w:tcPr>
          <w:p>
            <w:pPr>
              <w:ind w:left="300"/>
              <w:spacing w:after="0"/>
              <w:rPr>
                <w:sz w:val="20"/>
                <w:szCs w:val="20"/>
                <w:color w:val="auto"/>
              </w:rPr>
            </w:pPr>
            <w:r>
              <w:rPr>
                <w:rFonts w:ascii="Arial" w:cs="Arial" w:eastAsia="Arial" w:hAnsi="Arial"/>
                <w:sz w:val="15"/>
                <w:szCs w:val="15"/>
                <w:color w:val="auto"/>
              </w:rPr>
              <w:t>Treasury stock, at cost; 1,646,420 shares as of December 31, 2021 and as of December 31, 2020</w:t>
            </w:r>
          </w:p>
        </w:tc>
        <w:tc>
          <w:tcPr>
            <w:tcW w:w="100" w:type="dxa"/>
            <w:vAlign w:val="bottom"/>
          </w:tcPr>
          <w:p>
            <w:pPr>
              <w:spacing w:after="0"/>
              <w:rPr>
                <w:sz w:val="15"/>
                <w:szCs w:val="15"/>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(4,187)</w:t>
            </w: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5"/>
                <w:szCs w:val="15"/>
                <w:color w:val="auto"/>
              </w:rPr>
              <w:t>(4,187)</w:t>
            </w:r>
          </w:p>
        </w:tc>
        <w:tc>
          <w:tcPr>
            <w:tcW w:w="0" w:type="dxa"/>
            <w:vAlign w:val="bottom"/>
          </w:tcPr>
          <w:p>
            <w:pPr>
              <w:spacing w:after="0"/>
              <w:rPr>
                <w:sz w:val="1"/>
                <w:szCs w:val="1"/>
                <w:color w:val="auto"/>
              </w:rPr>
            </w:pPr>
          </w:p>
        </w:tc>
      </w:tr>
      <w:tr>
        <w:trPr>
          <w:trHeight w:val="34"/>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shareholders’ equity</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74,428</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59,533</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360" w:type="dxa"/>
            <w:vAlign w:val="bottom"/>
            <w:vMerge w:val="restart"/>
          </w:tcPr>
          <w:p>
            <w:pPr>
              <w:ind w:left="600"/>
              <w:spacing w:after="0"/>
              <w:rPr>
                <w:sz w:val="20"/>
                <w:szCs w:val="20"/>
                <w:color w:val="auto"/>
              </w:rPr>
            </w:pPr>
            <w:r>
              <w:rPr>
                <w:rFonts w:ascii="Arial" w:cs="Arial" w:eastAsia="Arial" w:hAnsi="Arial"/>
                <w:sz w:val="15"/>
                <w:szCs w:val="15"/>
                <w:color w:val="auto"/>
              </w:rPr>
              <w:t>Total liabilities and shareholders’ equity</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36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w w:val="95"/>
              </w:rPr>
              <w:t>113,702</w:t>
            </w:r>
          </w:p>
        </w:tc>
        <w:tc>
          <w:tcPr>
            <w:tcW w:w="140" w:type="dxa"/>
            <w:vAlign w:val="bottom"/>
          </w:tcPr>
          <w:p>
            <w:pPr>
              <w:spacing w:after="0"/>
              <w:rPr>
                <w:sz w:val="15"/>
                <w:szCs w:val="15"/>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5"/>
                <w:szCs w:val="15"/>
                <w:color w:val="auto"/>
              </w:rPr>
              <w:t>$  102,046</w:t>
            </w:r>
          </w:p>
        </w:tc>
        <w:tc>
          <w:tcPr>
            <w:tcW w:w="0" w:type="dxa"/>
            <w:vAlign w:val="bottom"/>
          </w:tcPr>
          <w:p>
            <w:pPr>
              <w:spacing w:after="0"/>
              <w:rPr>
                <w:sz w:val="1"/>
                <w:szCs w:val="1"/>
                <w:color w:val="auto"/>
              </w:rPr>
            </w:pPr>
          </w:p>
        </w:tc>
      </w:tr>
      <w:tr>
        <w:trPr>
          <w:trHeight w:val="35"/>
        </w:trPr>
        <w:tc>
          <w:tcPr>
            <w:tcW w:w="93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86"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MASTECH DIGITAL,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222,012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193,574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Cost of revenues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162,568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142,562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145,593</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47,981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37,063</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Revaluation of contingent consideration liability</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Income from operations</w:t>
            </w:r>
          </w:p>
        </w:tc>
        <w:tc>
          <w:tcPr>
            <w:tcW w:w="2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Income tax expense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Basic</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86"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MASTECH DIGITAL, INC.</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$12,221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$9,861</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$11,145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(loss) on interest rate swap contracts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(94)</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(187)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pretax net unrealized (loss)</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 net of taxes</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12,153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9,680</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10,906</w:t>
            </w:r>
          </w:p>
        </w:tc>
        <w:tc>
          <w:tcPr>
            <w:tcW w:w="12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MASTECH DIGITAL,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Common</w:t>
            </w:r>
          </w:p>
        </w:tc>
        <w:tc>
          <w:tcPr>
            <w:tcW w:w="4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restart"/>
          </w:tcPr>
          <w:p>
            <w:pPr>
              <w:jc w:val="center"/>
              <w:ind w:right="201"/>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4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8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2018</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126</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$ 20,829</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$(4,174)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11,145</w:t>
            </w:r>
          </w:p>
        </w:tc>
        <w:tc>
          <w:tcPr>
            <w:tcW w:w="22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Employee common stock purchases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1</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comprehensive (loss), net of taxes</w:t>
            </w:r>
          </w:p>
        </w:tc>
        <w:tc>
          <w:tcPr>
            <w:tcW w:w="1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Balances, December 31, 2019</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127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$ 21,939</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(4,187</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Employee common stock purchases</w:t>
            </w:r>
          </w:p>
        </w:tc>
        <w:tc>
          <w:tcPr>
            <w:tcW w:w="1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Balances, December 31, 2020</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130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$ 25,509</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38,620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(4,187</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Employee common stock purchases</w:t>
            </w:r>
          </w:p>
        </w:tc>
        <w:tc>
          <w:tcPr>
            <w:tcW w:w="1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1</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Balances, December 31, 2021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131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$ 28,250</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(4,187</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86"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MASTECH DIGITAL,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5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12,221</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9,861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11,145</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3,589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Bad debt expense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640"/>
              <w:spacing w:after="0"/>
              <w:rPr>
                <w:sz w:val="20"/>
                <w:szCs w:val="20"/>
                <w:color w:val="auto"/>
              </w:rPr>
            </w:pPr>
            <w:r>
              <w:rPr>
                <w:rFonts w:ascii="Arial" w:cs="Arial" w:eastAsia="Arial" w:hAnsi="Arial"/>
                <w:sz w:val="16"/>
                <w:szCs w:val="16"/>
                <w:color w:val="auto"/>
              </w:rPr>
              <w:t>Interest amortization / write-off of deferred financing costs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Stock-based compensation expense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640"/>
              <w:spacing w:after="0"/>
              <w:rPr>
                <w:sz w:val="20"/>
                <w:szCs w:val="20"/>
                <w:color w:val="auto"/>
              </w:rPr>
            </w:pPr>
            <w:r>
              <w:rPr>
                <w:rFonts w:ascii="Arial" w:cs="Arial" w:eastAsia="Arial" w:hAnsi="Arial"/>
                <w:sz w:val="16"/>
                <w:szCs w:val="16"/>
                <w:color w:val="auto"/>
              </w:rPr>
              <w:t>Deferred income taxes, net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1,061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(1,821)</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Revaluation of contingent consideration liability</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(6,069)</w:t>
            </w:r>
          </w:p>
        </w:tc>
        <w:tc>
          <w:tcPr>
            <w:tcW w:w="0" w:type="dxa"/>
            <w:vAlign w:val="bottom"/>
          </w:tcPr>
          <w:p>
            <w:pPr>
              <w:spacing w:after="0"/>
              <w:rPr>
                <w:sz w:val="1"/>
                <w:szCs w:val="1"/>
                <w:color w:val="auto"/>
              </w:rPr>
            </w:pPr>
          </w:p>
        </w:tc>
      </w:tr>
      <w:tr>
        <w:trPr>
          <w:trHeight w:val="202"/>
        </w:trPr>
        <w:tc>
          <w:tcPr>
            <w:tcW w:w="8540" w:type="dxa"/>
            <w:vAlign w:val="bottom"/>
          </w:tcPr>
          <w:p>
            <w:pPr>
              <w:ind w:left="640"/>
              <w:spacing w:after="0"/>
              <w:rPr>
                <w:sz w:val="20"/>
                <w:szCs w:val="20"/>
                <w:color w:val="auto"/>
              </w:rPr>
            </w:pPr>
            <w:r>
              <w:rPr>
                <w:rFonts w:ascii="Arial" w:cs="Arial" w:eastAsia="Arial" w:hAnsi="Arial"/>
                <w:sz w:val="16"/>
                <w:szCs w:val="16"/>
                <w:color w:val="auto"/>
              </w:rPr>
              <w:t>Operating lease assets and liabilities, net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Loss on disposition of fixed assets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40" w:type="dxa"/>
            <w:vAlign w:val="bottom"/>
          </w:tcPr>
          <w:p>
            <w:pPr>
              <w:ind w:left="640"/>
              <w:spacing w:after="0"/>
              <w:rPr>
                <w:sz w:val="20"/>
                <w:szCs w:val="20"/>
                <w:color w:val="auto"/>
              </w:rPr>
            </w:pPr>
            <w:r>
              <w:rPr>
                <w:rFonts w:ascii="Arial" w:cs="Arial" w:eastAsia="Arial" w:hAnsi="Arial"/>
                <w:sz w:val="16"/>
                <w:szCs w:val="16"/>
                <w:color w:val="auto"/>
              </w:rPr>
              <w:t>Long-term accrued income taxes</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Working capital items: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640"/>
              <w:spacing w:after="0"/>
              <w:rPr>
                <w:sz w:val="20"/>
                <w:szCs w:val="20"/>
                <w:color w:val="auto"/>
              </w:rPr>
            </w:pPr>
            <w:r>
              <w:rPr>
                <w:rFonts w:ascii="Arial" w:cs="Arial" w:eastAsia="Arial" w:hAnsi="Arial"/>
                <w:sz w:val="16"/>
                <w:szCs w:val="16"/>
                <w:color w:val="auto"/>
              </w:rPr>
              <w:t>Accounts receivable and unbilled receivables</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(11,389)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2,133</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Prepaid and other current assets</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03"/>
        </w:trPr>
        <w:tc>
          <w:tcPr>
            <w:tcW w:w="8540" w:type="dxa"/>
            <w:vAlign w:val="bottom"/>
          </w:tcPr>
          <w:p>
            <w:pPr>
              <w:ind w:left="640"/>
              <w:spacing w:after="0"/>
              <w:rPr>
                <w:sz w:val="20"/>
                <w:szCs w:val="20"/>
                <w:color w:val="auto"/>
              </w:rPr>
            </w:pPr>
            <w:r>
              <w:rPr>
                <w:rFonts w:ascii="Arial" w:cs="Arial" w:eastAsia="Arial" w:hAnsi="Arial"/>
                <w:sz w:val="16"/>
                <w:szCs w:val="16"/>
                <w:color w:val="auto"/>
              </w:rPr>
              <w:t>Accounts payable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2,365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(1,613)</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payroll and related costs</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6,287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640"/>
              <w:spacing w:after="0"/>
              <w:rPr>
                <w:sz w:val="20"/>
                <w:szCs w:val="20"/>
                <w:color w:val="auto"/>
              </w:rPr>
            </w:pPr>
            <w:r>
              <w:rPr>
                <w:rFonts w:ascii="Arial" w:cs="Arial" w:eastAsia="Arial" w:hAnsi="Arial"/>
                <w:sz w:val="16"/>
                <w:szCs w:val="16"/>
                <w:color w:val="auto"/>
              </w:rPr>
              <w:t>Other accrued liabilities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7"/>
        </w:trPr>
        <w:tc>
          <w:tcPr>
            <w:tcW w:w="8540" w:type="dxa"/>
            <w:vAlign w:val="bottom"/>
          </w:tcPr>
          <w:p>
            <w:pPr>
              <w:ind w:left="960"/>
              <w:spacing w:after="0" w:line="170" w:lineRule="exact"/>
              <w:rPr>
                <w:sz w:val="20"/>
                <w:szCs w:val="20"/>
                <w:color w:val="auto"/>
              </w:rPr>
            </w:pPr>
            <w:r>
              <w:rPr>
                <w:rFonts w:ascii="Arial" w:cs="Arial" w:eastAsia="Arial" w:hAnsi="Arial"/>
                <w:sz w:val="16"/>
                <w:szCs w:val="16"/>
                <w:color w:val="auto"/>
              </w:rPr>
              <w:t>Net cash flows provided by operating activities</w:t>
            </w: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21,231</w:t>
            </w:r>
          </w:p>
        </w:tc>
        <w:tc>
          <w:tcPr>
            <w:tcW w:w="3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16,084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Acquisition of AmberLeaf (net of cash acquired and issuance of contingent consideration)</w:t>
            </w:r>
          </w:p>
        </w:tc>
        <w:tc>
          <w:tcPr>
            <w:tcW w:w="8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(9,345)</w:t>
            </w:r>
          </w:p>
        </w:tc>
        <w:tc>
          <w:tcPr>
            <w:tcW w:w="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Recovery of (payments for) non-current deposits</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Capital expenditures</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(1,895)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the sale of fixed assets</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540" w:type="dxa"/>
            <w:vAlign w:val="bottom"/>
          </w:tcPr>
          <w:p>
            <w:pPr>
              <w:ind w:left="960"/>
              <w:spacing w:after="0"/>
              <w:rPr>
                <w:sz w:val="20"/>
                <w:szCs w:val="20"/>
                <w:color w:val="auto"/>
              </w:rPr>
            </w:pPr>
            <w:r>
              <w:rPr>
                <w:rFonts w:ascii="Arial" w:cs="Arial" w:eastAsia="Arial" w:hAnsi="Arial"/>
                <w:sz w:val="16"/>
                <w:szCs w:val="16"/>
                <w:color w:val="auto"/>
              </w:rPr>
              <w:t>Net cash flows (used in) investing activities</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(9,634)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320"/>
              <w:spacing w:after="0"/>
              <w:rPr>
                <w:sz w:val="20"/>
                <w:szCs w:val="20"/>
                <w:color w:val="auto"/>
              </w:rPr>
            </w:pPr>
            <w:r>
              <w:rPr>
                <w:rFonts w:ascii="Arial" w:cs="Arial" w:eastAsia="Arial" w:hAnsi="Arial"/>
                <w:sz w:val="16"/>
                <w:szCs w:val="16"/>
                <w:color w:val="auto"/>
              </w:rPr>
              <w:t>(Repayments) borrowing on revolving credit facility, net</w:t>
            </w:r>
          </w:p>
        </w:tc>
        <w:tc>
          <w:tcPr>
            <w:tcW w:w="80" w:type="dxa"/>
            <w:vAlign w:val="bottom"/>
          </w:tcPr>
          <w:p>
            <w:pPr>
              <w:spacing w:after="0"/>
              <w:rPr>
                <w:sz w:val="17"/>
                <w:szCs w:val="17"/>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(9,551</w:t>
            </w: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Borrowing on term loan facility</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8"/>
              </w:rPr>
              <w:t>17,500</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(Repayments) on term loan facility</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(4,400)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(15,969</w:t>
            </w:r>
            <w:r>
              <w:rPr>
                <w:rFonts w:ascii="Arial" w:cs="Arial" w:eastAsia="Arial" w:hAnsi="Arial"/>
                <w:sz w:val="17"/>
                <w:szCs w:val="17"/>
                <w:color w:val="auto"/>
                <w:w w:val="90"/>
              </w:rPr>
              <w:t>)</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(9,575)</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the issuance of common stock</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222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40" w:type="dxa"/>
            <w:vAlign w:val="bottom"/>
          </w:tcPr>
          <w:p>
            <w:pPr>
              <w:ind w:left="320"/>
              <w:spacing w:after="0"/>
              <w:rPr>
                <w:sz w:val="20"/>
                <w:szCs w:val="20"/>
                <w:color w:val="auto"/>
              </w:rPr>
            </w:pPr>
            <w:r>
              <w:rPr>
                <w:rFonts w:ascii="Arial" w:cs="Arial" w:eastAsia="Arial" w:hAnsi="Arial"/>
                <w:sz w:val="16"/>
                <w:szCs w:val="16"/>
                <w:color w:val="auto"/>
              </w:rPr>
              <w:t>Payment of deferred financing costs</w:t>
            </w: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 of treasury stock</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8540" w:type="dxa"/>
            <w:vAlign w:val="bottom"/>
          </w:tcPr>
          <w:p>
            <w:pPr>
              <w:ind w:left="320"/>
              <w:spacing w:after="0"/>
              <w:rPr>
                <w:sz w:val="20"/>
                <w:szCs w:val="20"/>
                <w:color w:val="auto"/>
              </w:rPr>
            </w:pPr>
            <w:r>
              <w:rPr>
                <w:rFonts w:ascii="Arial" w:cs="Arial" w:eastAsia="Arial" w:hAnsi="Arial"/>
                <w:sz w:val="16"/>
                <w:szCs w:val="16"/>
                <w:color w:val="auto"/>
              </w:rPr>
              <w:t>Proceeds from the exercise of stock options</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Net cash flows (used in) financing activities</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(6,714)</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(13,389)</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4,696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4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6,622</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7,677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6"/>
                <w:szCs w:val="16"/>
                <w:color w:val="auto"/>
              </w:rPr>
              <w:t>SUPPLEMENTAL DISCLOSURE: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payments for 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ind w:left="320"/>
              <w:spacing w:after="0"/>
              <w:rPr>
                <w:sz w:val="20"/>
                <w:szCs w:val="20"/>
                <w:color w:val="auto"/>
              </w:rPr>
            </w:pPr>
            <w:r>
              <w:rPr>
                <w:rFonts w:ascii="Arial" w:cs="Arial" w:eastAsia="Arial" w:hAnsi="Arial"/>
                <w:sz w:val="16"/>
                <w:szCs w:val="16"/>
                <w:color w:val="auto"/>
              </w:rPr>
              <w:t>Cash payments for income taxes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3,831</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2,681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86"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MASTECH DIGITAL,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60" w:right="7120" w:hanging="444"/>
        <w:spacing w:after="0" w:line="377" w:lineRule="auto"/>
        <w:tabs>
          <w:tab w:leader="none" w:pos="5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References in this Annual Report on Form 10-K to “we”, “our”, “Mastech Digital”, “Mastech” or “the Company” refer collectively to Mastech Digital, Inc. and its wholly-owned operating subsidiaries, which are included in these Consolidated Financial Statements (the “Financial Statements”).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Reflective of our 2017 acquisition of the services division of Canada-based InfoTrellis, Inc., we have added specialized capabilities in delivering data and analytics services to our customers globally. This business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expands our capabilities in customer experience strategy and managed services offering for a variety of Cloud-based enterprise applications across sales, marketing and customer services organizations.</w:t>
      </w:r>
    </w:p>
    <w:p>
      <w:pPr>
        <w:spacing w:after="0" w:line="16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IT staffing business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COVID-19 pandemic had a material impact on activity levels in both of our business segments in 2020. During 2021, we were encouraged by the global roll-out of vaccination programs and signs of improving economic conditions. However, the proliferation of COVID-19 variants have caused some uncertainty and disruption in the global markets during 2021. As we enter 2022, we are hopeful that both COVID-19 related concerns and economic uncertainty subsides and conditions improve.</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Accounting Principles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of America (“GAAP”).</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material intercompany transactions and balances have been eliminated in consolidation.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120" w:right="560" w:firstLine="440"/>
        <w:spacing w:after="0" w:line="31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periods presented. Actual results could differ from these estimates.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86"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Cash and cash equivalents are defined as cash and highly liquid debt investments with maturities of three months or less when purchased. Cash equivalents are stated at cost, which approximates market value.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Accounts Receivable and Unbilled Receivables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Unbilled receivables represent amounts recognized as revenues based on services performed and, in accordance with the terms of the client contract, will be invoiced in a subsequent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2 “Revenue from Contracts with Customers” for further details.</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Allowance for Uncollectible Accounts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Accounts receivable are reviewed periodically to determine the probability of loss. The Company records an allowance for uncollectible accounts when it is probable that the related receivable balance will not be collected based on historical collection experience, client-specific collection issues, and other matters the Company identifies in its collection monitoring.</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Allowance for Uncollectible Accounts was $375,000 and $413,000 at December 31, 2021 and 2020, respectively. There were $130,000, $0 and $80,000 of bad debt expense charges for the years ended December 31, 2021, 2020 and 2019, respectively, which amounts are reflected in the Consolidated Statements of Operations.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Equipment, Enterprise Software and Leasehold Improvements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Equipment, enterprise software and leasehold improvements are stated at historical cost. The Company provides for depreciation using the straight-line method over the estimated useful lives of the assets. Leasehold improvements are amortized over the shorter of (a) the remaining term of the lease or (b) the estimated useful life of the improvements. Repairs and maintenance, which do not extend the useful life of the respective assets, are charged to expense as incurred. Upon disposal, assets and related accumulated depreciation are removed from the Company’s accounts and the resulting gains or losses are reflected in the Company’s Consolidated Statement of Operations.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The estimated useful lives of depreciable assets are primarily as follows:</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Laptop Computers</w:t>
            </w:r>
          </w:p>
        </w:tc>
        <w:tc>
          <w:tcPr>
            <w:tcW w:w="2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18 months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Equipment</w:t>
            </w:r>
          </w:p>
        </w:tc>
        <w:tc>
          <w:tcPr>
            <w:tcW w:w="2760" w:type="dxa"/>
            <w:vAlign w:val="bottom"/>
          </w:tcPr>
          <w:p>
            <w:pPr>
              <w:ind w:left="172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Enterprise Software</w:t>
            </w:r>
          </w:p>
        </w:tc>
        <w:tc>
          <w:tcPr>
            <w:tcW w:w="2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Company capitalizes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8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implemented new enterprise software applications to its backbone systems environment. The Company has capitalized $2.4 million related to this endeavor for which the core system was placed in service on July 1, 2018. The Company started amortizing these costs commencing with this go-live implementation date. During 2021, the Company capitalized $1.0 million related to an expanded implementation of its enterprise software application to its Data and Analytics business segment, which is expected to be completed in 2022.</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Depreciation and amortization expense related to fixed assets totaled $809,000, $799,000 and $746,000 for the years ended December 31, 2021, 2020 and 2019, respectively.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“Business Combinations” and Note 4 “Goodwill and Other Intangible Assets, net” to the Notes to the Consolidated Financial Statements.</w:t>
      </w:r>
    </w:p>
    <w:p>
      <w:pPr>
        <w:spacing w:after="0" w:line="15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83" w:lineRule="exact"/>
        <w:rPr>
          <w:sz w:val="20"/>
          <w:szCs w:val="20"/>
          <w:color w:val="auto"/>
        </w:rPr>
      </w:pPr>
    </w:p>
    <w:p>
      <w:pPr>
        <w:jc w:val="both"/>
        <w:ind w:left="120" w:right="400" w:firstLine="440"/>
        <w:spacing w:after="0" w:line="268" w:lineRule="auto"/>
        <w:rPr>
          <w:sz w:val="20"/>
          <w:szCs w:val="20"/>
          <w:color w:val="auto"/>
        </w:rPr>
      </w:pPr>
      <w:r>
        <w:rPr>
          <w:rFonts w:ascii="Arial" w:cs="Arial" w:eastAsia="Arial" w:hAnsi="Arial"/>
          <w:sz w:val="16"/>
          <w:szCs w:val="16"/>
          <w:color w:val="auto"/>
        </w:rPr>
        <w:t>We review goodwill and intangible assets for impairment annually as of October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or more frequently if events or changes in circumstances indicate that the carrying value of the assets may not be recoverable. The impairment test is performed at the reporting unit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8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2021, 2020 and 2019, we performed quantitative impairment tests related to our June 2015 acquisition of Hudson Global Resources Management, Inc.’s U.S. IT staffing business (“Hudson IT”). The results of each of these testing’s indicated no impairment associated with the carrying amount of goodwill.</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Additionally in 2021, 2020 and 2019, we performed quantitative impairment tests related to our Data and Analytics segment which includes the July 2017 acquisition of InfoTrellis and the October 2020 acquisition of AmberLeaf. The results of each of these testing’s indicated no impairment associated with the carrying amount of goodwill.</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 xml:space="preserve">The Company accounts for acquisitions in accordance with guidance found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86"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effect income tax expense.</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AmberLeaf financial results are included in the Company’s Consolidated Financial Statements from the date of the acquisition of October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 enacted. The Company evaluates its deferred tax assets and records a valuation allowance when, in management’s opinion, it is more likely than not that some portion or all of the deferred tax assets will not be realized. As of December 31, 2021 and 2020, the Company provided a valuation allowance of $311,000 and $179,000, respectively, related to the uncertainty of the realization of foreign net operating losses (“NOL”).</w:t>
      </w:r>
    </w:p>
    <w:p>
      <w:pPr>
        <w:spacing w:after="0" w:line="17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Tax Cuts and Jobs Act of 2017 (“TCJA”) created a new requirement that certain income earned by foreign subsidiaries, known as global intangible low-tax income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86"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accounts for uncertain tax positions in accordance with ASC Topic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Accordingly, the Company has reported a liability for unrecognized tax benefits resulting from uncertain tax positions taken, or expected to be taken, in a tax return. As of December 31, 2021 and 2020, the Company provided $0 and $0 for uncertain tax positions, including interest and penalties, related to various federal and state income tax matters.</w:t>
      </w:r>
    </w:p>
    <w:p>
      <w:pPr>
        <w:spacing w:after="0" w:line="18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Company’s 2018 federal income tax return was audited by the Internal Revenue Service (“IRS”) in 2021 with no adjustment to our original filing. In 2019, the Company and the IRS agreed to certain adjustments related to the Company’s 2015 and 2016 income tax returns. The impact of this settlement on the Company’s tax provision in 2019 was not material.</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Deferred Financing Costs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capitalizes expenses directly related to securing its credit facilities. These deferred costs are amortized as interest expense over the term of the underlying facilities. Unamortized deferred financing costs are included as reductions in the long-term debt in the Consolidated Balance Sheets.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Contingent Consideration Liability</w:t>
      </w:r>
    </w:p>
    <w:p>
      <w:pPr>
        <w:spacing w:after="0" w:line="121"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In connection with the AmberLeaf acquisition, the Company has an obligation to pay consideration that is contingent upon the achievement of specified revenue growth and EBITA margin objectives. As of the acquisition date, the Company recorded a contingent consideration liability of $2.9 million representing the estimated fair value of the contingent consideration that is expected to be paid. The fair value of the contingent consideration liability was estimated by utilizing a probability weighted simulation model to determine the fair value of contingent consideration.</w:t>
      </w:r>
    </w:p>
    <w:p>
      <w:pPr>
        <w:spacing w:after="0" w:line="15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connection with the InfoTrellis acquisition, the Company had an obligation to pay consideration that was contingent upon the achievement of specified earnings before interest and taxes objectives (“EBIT”). As of the acquisition date, the Company recorded a contingent consideration liability representing the estimated fair value of the contingent consideration that was expected to be paid. The fair value of the contingent consideration liability was estimated by utilizing a probability weighted simulation model to determine the fair value of contingent consideration.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re-measured this liability and recorded changes in the fair value when it was more likely than not that the future payments had changed.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Increases or decreases in the fair value of contingent consideration can result from changes in timing and amounts of revenue and earnings estimates.</w:t>
      </w:r>
    </w:p>
    <w:p>
      <w:pPr>
        <w:spacing w:after="0" w:line="23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2021, the Company revalued the contingent consideration liability related to the AmberLeaf acquisition after determining that relevant conditions for payment of such liability were likely not to be satisfied. The revaluation resulted in a $2.9 million reduction in the contingent consideration liability. In 2019, the Company revalued the contingent consideration liability of the InfoTrellis acquisition after determining that relevant conditions for payment of such liability were not satisfied. The revaluation resulted in a $6.1 million reduction to the contingent consideration liability. No contingent consideration revaluation was recorded in 2020. Both of these credits are reflected in selling, general and administrative expenses in the Company’s Consolidated Statements of Operations, in Item 8, herein. No contingent consideration liability remained outstanding as of December 31, 2021.</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Company has two reportable segments, in accordance with ASC Topic 280 “Disclosures About Segments of an Enterprise and Related Information”: Data and Analytics and IT Staffing Services.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86"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800" w:firstLine="440"/>
        <w:spacing w:after="0" w:line="301" w:lineRule="auto"/>
        <w:rPr>
          <w:sz w:val="20"/>
          <w:szCs w:val="20"/>
          <w:color w:val="auto"/>
        </w:rPr>
      </w:pPr>
      <w:r>
        <w:rPr>
          <w:rFonts w:ascii="Arial" w:cs="Arial" w:eastAsia="Arial" w:hAnsi="Arial"/>
          <w:sz w:val="16"/>
          <w:szCs w:val="16"/>
          <w:color w:val="auto"/>
        </w:rPr>
        <w:t>The Company recognizes revenue on time-and-material contracts over time as services are performed and expenses are incurred. Time-and-material contracts typically bill at an agreed upon hourly rate, plus out-of-pocket expense reimbursement. Out-of-pocket expense reimbursement amounts vary by assignment, but on average represent less than 2% of total revenues. Revenue is earned when the Company’s consultants are working on projects. Revenue recognition is negatively impacted by holidays and consultant vacation and sick days.</w:t>
      </w:r>
    </w:p>
    <w:p>
      <w:pPr>
        <w:spacing w:after="0" w:line="157"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Company recognizes revenue on fixed price contracts over time as services are rendered and uses a cost-based input method to measure progress. Determining a measure of progress requires management to make judgments that affect the timing of recognizing revenue.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time-and-material and fixed price revenue streams are recognized over time as the customer receives and consumes the benefits of the Company’s performance as the work is performed.</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Effective October 1, 2008, the Company adopted a Stock Incentive Plan (the “Plan”) which, as amended, provides that up to 4,900,000 shares (adjusted for the 2018 two-for-one stock split) of the Company’s common stock shall be allocated for issuance to directors, executive management and key personnel. Grants under the Plan can be made in the form of stock options, stock appreciation rights, performance shares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1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(1) the fair market value per share of Common Stock on the first day of the offering period, or (ii) the fair market value per share of Common Stock on the last day of the offering period.</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accounts for stock-based compensation expense in accordance with ASC Topic 718 “</w:t>
      </w:r>
      <w:r>
        <w:rPr>
          <w:rFonts w:ascii="Arial" w:cs="Arial" w:eastAsia="Arial" w:hAnsi="Arial"/>
          <w:sz w:val="18"/>
          <w:szCs w:val="18"/>
          <w:i w:val="1"/>
          <w:iCs w:val="1"/>
          <w:color w:val="auto"/>
        </w:rPr>
        <w:t>Share-based Payments</w:t>
      </w:r>
      <w:r>
        <w:rPr>
          <w:rFonts w:ascii="Arial" w:cs="Arial" w:eastAsia="Arial" w:hAnsi="Arial"/>
          <w:sz w:val="18"/>
          <w:szCs w:val="18"/>
          <w:color w:val="auto"/>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Treasury Stock</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Company maintained a stock repurchase program which expired on December 22, 2016. Under the program, the Company made treasury stock purchases in the open market, subject to market conditions and normal trading restrictions. Upon expiration, the program was not extended by the Company’s Board of Directors. Additionally, the Company makes stock purchases from time to time to satisfy employee tax obligations related to its Stock Incentive Plan. At December 31, 2021 and 2020, the Company held 1.6 million shares in its treasury at a cost of approximately $4.2 million.</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Comprehensive income as presented in the Consolidated Statements of Comprehensive Income consists of net income, unrealized gains or losses, net of tax, on cash flow hedging transactions and foreign currency translation adjustments.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Derivative Instruments and Hedging Activities – Interest Rate Swap Contracts</w:t>
      </w:r>
    </w:p>
    <w:p>
      <w:pPr>
        <w:spacing w:after="0" w:line="12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Concurrent with the Company’s borrowings on July 13, 2017 under its new credit facility, the Company entered into an interest-rate swap to convert the debt’s variable interest rate to a fixed rate of interest. These swap contracts, which matured on April 1, 2021, have been designated as cash flow hedging instruments and qualified as effective hedges at inception under ASC Topic 815, “Derivatives and Hedging”. These contracts are recognized on the balance sheet at fair value. The effective portion of the changes in fair value on these contracts is recorded in other comprehensive income (loss) and is reclassified into the Consolidated Statements of Operations as interest expense in the same period in which the underlying transaction affects earnings.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With respect to derivatives designated as hedges, the Company formally documents all relationships between hedging instruments and hedged items, as well as its risk management objective and strategy for undertaking such transactions. The Company evaluates hedge effectiveness at the time a contract is entered into and on an ongoing basis. If a swap contract is deemed ineffective, the change in the fair value of the derivative is recorded in the Consolidated Statement of Operations as interest expense.</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and have not been material for all periods presented.</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Basic earnings per share are computed using the weighted-average number of common shares outstanding during the period. Diluted earnings per share are computed using the weighted-average number of common shares outstanding during the period, plus the incremental shares outstanding assuming the exercise of dilutive stock options and the vesting of restricted shares and performance shares, calculated using the treasury stock method.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December 2019, the FASB issued ASU 2019-12, “Income Taxes (Topic 740)”. The amendments in this ASU simplify the accounting for income taxes by removing certain exceptions to the general principles in Topic 740 and by clarifying and amending other areas of Topic 740. The amendments in this ASU are effective for annual and interim periods beginning after December 15, 2020. We adopted this ASU on January 1, 2021 with no material impact on our consolidated financial statements.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March 2020, the FASB issued ASU 2020-04, “Reference Rate Reform (Topic 848)”. The amendments in this ASU provide optional guidance to ease the burden in accounting for contract modifications associated with the cessation of interbank offered rates, particularly LIBOR, as a result of reference rate reform. The amendments in this ASU are effective for annual and interim periods from the beginning of an interim period that includes or is subsequent to March 12, 2020, or prospectively from a date within an interim period that includes or is subsequent to March 12, 2020 through December 31, 2022. We adopted this ASU on January 1, 2021 with no material impact on our consolidated financial statements.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October 2021, the FASB issued ASU 2021-08, “Business Combinations (Topic 805): Accounting for Contract Assets and Contract Liabilities from Contracts with Customers”. The amendments in this ASU require that an entity (acquirer) recognize and measure contract assets and contract liabilities acquired in a business combination, including contract assets and contract liabilities arising from revenue contracts with customers, as if it had originated the contracts as of the acquisition date. The amendments in this ASU are effective for annual and interim periods beginning after December 15, 2022. Early adoption is permitted. The Company does not expect this ASU to have a material impact on its financial statements.</w:t>
      </w:r>
    </w:p>
    <w:p>
      <w:pPr>
        <w:spacing w:after="0" w:line="16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In November 2021, the FASB issued ASU 2021-10, “Government Assistance (Topic 832): Disclosures by Business Entities about Government Assistance”. The amendments in this ASU require annual disclosures to increase the transparency of government assistance received by a business entity including information about the nature of the government transactions, related accounting policy, the line items on the balance sheet and income statement that are affected, amounts applicable to each financial statement line item, and significant terms and conditions of the transactions, including commitments and contingencies. The amendments in this ASU are effective for annual periods beginning after December 15, 2021. Early adoption is permitted. The Company does not expect this ASU to have a material impact on its financial statements.</w:t>
      </w:r>
    </w:p>
    <w:p>
      <w:pPr>
        <w:spacing w:after="0" w:line="164"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310"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total revenues. Revenue is earned on a per transaction or labor hour basis, as that amount directly corresponds to the value of the Company’s performance. Revenue recognition is negatively impacted by holidays and consultant vacation and sick days.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Company’s time-and-material and fixed price revenue streams are recognized over time as the customer receives and consumes the benefits of the Company’s performance as the work is performed.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70"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selling, general and administrative expenses.</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Our Data and Analytics Services segment provides specialized capabilities in delivering data management and analytics services to customers globally. This business offers project-based consulting services in the areas of Master Data Management, Enterprise Data Integration, Big Data, Analytics and Digital Transformation, which can be delivered using onsite and offshore resources.</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IT staffing business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 “project focused” temporary IT staffing requirements.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depicts the disaggregation of our revenues by contract type and operating segment: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ind w:left="414"/>
              <w:spacing w:after="0"/>
              <w:rPr>
                <w:sz w:val="20"/>
                <w:szCs w:val="20"/>
                <w:color w:val="auto"/>
              </w:rPr>
            </w:pPr>
            <w:r>
              <w:rPr>
                <w:rFonts w:ascii="Arial" w:cs="Arial" w:eastAsia="Arial" w:hAnsi="Arial"/>
                <w:sz w:val="14"/>
                <w:szCs w:val="14"/>
                <w:b w:val="1"/>
                <w:bCs w:val="1"/>
                <w:color w:val="auto"/>
                <w:w w:val="92"/>
              </w:rPr>
              <w:t>Years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6"/>
              </w:rPr>
              <w:t>2020</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5"/>
          </w:tcPr>
          <w:p>
            <w:pPr>
              <w:jc w:val="center"/>
              <w:ind w:right="47"/>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Data and Analytics Services Segment</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Time-and-material Contracts</w:t>
            </w:r>
          </w:p>
        </w:tc>
        <w:tc>
          <w:tcPr>
            <w:tcW w:w="124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25,224</w:t>
            </w:r>
          </w:p>
        </w:tc>
        <w:tc>
          <w:tcPr>
            <w:tcW w:w="4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18,541</w:t>
            </w:r>
          </w:p>
        </w:tc>
        <w:tc>
          <w:tcPr>
            <w:tcW w:w="160" w:type="dxa"/>
            <w:vAlign w:val="bottom"/>
            <w:tcBorders>
              <w:top w:val="single" w:sz="8" w:color="CCEEFF"/>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11,685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Data and Analytics Services</w:t>
            </w:r>
          </w:p>
        </w:tc>
        <w:tc>
          <w:tcPr>
            <w:tcW w:w="3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38,339</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30,226</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IT Staffing Services Segment</w:t>
            </w:r>
          </w:p>
        </w:tc>
        <w:tc>
          <w:tcPr>
            <w:tcW w:w="3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Time-and-material Contracts</w:t>
            </w:r>
          </w:p>
        </w:tc>
        <w:tc>
          <w:tcPr>
            <w:tcW w:w="1860" w:type="dxa"/>
            <w:vAlign w:val="bottom"/>
            <w:tcBorders>
              <w:top w:val="single" w:sz="8" w:color="CCEEFF"/>
            </w:tcBorders>
            <w:gridSpan w:val="2"/>
          </w:tcPr>
          <w:p>
            <w:pPr>
              <w:spacing w:after="0"/>
              <w:rPr>
                <w:sz w:val="18"/>
                <w:szCs w:val="18"/>
                <w:color w:val="auto"/>
              </w:rPr>
            </w:pPr>
          </w:p>
        </w:tc>
        <w:tc>
          <w:tcPr>
            <w:tcW w:w="31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2"/>
              </w:rPr>
              <w:t>183,673</w:t>
            </w:r>
          </w:p>
        </w:tc>
        <w:tc>
          <w:tcPr>
            <w:tcW w:w="4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w w:val="92"/>
              </w:rPr>
              <w:t>163,875</w:t>
            </w:r>
          </w:p>
        </w:tc>
        <w:tc>
          <w:tcPr>
            <w:tcW w:w="160" w:type="dxa"/>
            <w:vAlign w:val="bottom"/>
            <w:tcBorders>
              <w:top w:val="single" w:sz="8" w:color="CCEEFF"/>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92"/>
              </w:rPr>
              <w:t>166,911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Subtotal IT Staffing Services</w:t>
            </w:r>
          </w:p>
        </w:tc>
        <w:tc>
          <w:tcPr>
            <w:tcW w:w="3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183,673</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163,875</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166,911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222,012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2"/>
              </w:rPr>
              <w:t>194,101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193,574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0" w:type="dxa"/>
            <w:vAlign w:val="bottom"/>
            <w:vMerge w:val="restart"/>
          </w:tcPr>
          <w:p>
            <w:pPr>
              <w:jc w:val="right"/>
              <w:ind w:right="1830"/>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had one client that exceeded 10% of total revenues in 2021, 2020 and 2019 (CGI = 15.0%, 15.0% and 11.3%, respectively).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Additionally, CGI accounted for 19.5% and 11.7% of the Company’s accounts receivable balance at December 31, 2021 and 2020, respectively.</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Company’s top ten clients represented approximately 48%, 47% and 45% of total revenues in 2021, 2020 and 2019, respectively.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our revenue from external customers disaggregated by geography, based on the work location of our customers:</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2"/>
              </w:rPr>
              <w:t>Years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left="257"/>
              <w:spacing w:after="0" w:line="142" w:lineRule="exact"/>
              <w:rPr>
                <w:sz w:val="20"/>
                <w:szCs w:val="20"/>
                <w:color w:val="auto"/>
              </w:rPr>
            </w:pPr>
            <w:r>
              <w:rPr>
                <w:rFonts w:ascii="Arial" w:cs="Arial" w:eastAsia="Arial" w:hAnsi="Arial"/>
                <w:sz w:val="14"/>
                <w:szCs w:val="14"/>
                <w:b w:val="1"/>
                <w:bCs w:val="1"/>
                <w:color w:val="auto"/>
                <w:w w:val="96"/>
              </w:rPr>
              <w:t>2020</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4"/>
          </w:tcPr>
          <w:p>
            <w:pPr>
              <w:jc w:val="center"/>
              <w:ind w:right="67"/>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$ 214,379</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$ 189,890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188,710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Canada</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4,543</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3,603</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2,918</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India and Other</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3,090</w:t>
            </w:r>
          </w:p>
        </w:tc>
        <w:tc>
          <w:tcPr>
            <w:tcW w:w="1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1,946</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$ 222,012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$ 194,101</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193,574</w:t>
            </w:r>
          </w:p>
        </w:tc>
        <w:tc>
          <w:tcPr>
            <w:tcW w:w="6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On October 1, 2020, Mastech Digital, Inc., through its wholly-owned subsidiary Mastech Digital Data, Inc., acquired all of the outstanding shares of AmberLeaf Partners, Inc. (“AmberLeaf”). Under the terms of the Share Purchase Agreement executed in connection with the AmberLeaf acquisition (the “Purchase Agreement”), the Company paid at the closing of the acquisition approximately $9.7 million in cash. The Purchase Agreement also requires the Company to pay to the former shareholders of AmberLeaf up to $4.5 million in deferred cash payments, which payments are contingent upon the AmberLeaf business achieving specific revenue growth and EBITDA margin targets. The amount of these deferred cash payments, if any, is based upon the revenue growth and EBITDA margins of the AmberLeaf business for the 12-month period beginning on January 1, 2021 and for the 12-month period beginning January 1, 2022, as described more fully in the Purchase Agreement.</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To fund the acquisition, on October 1, 2020 the Company entered into a Third Amendment (the “Third Amendment”) to its Credit Agreement, as amended and dated April 20, 2018. The Third Amendment revised the Credit Agreement by, among other things, (1) increasing the aggregate commitment amount of the revolving credit facility to $30 million (an increase of $7.5 million); (2) providing for the Term Loan facility in the aggregate amount of $17.5 million (an increase of $10 million); (3) providing for an increase in the total commitment amount to the facility in an aggregate amount not to exceed $15 million, upon the satisfaction of certain conditions; and (4) amending the financial covenant in the Credit Agreement related to the Company’s Fixed Charge Coverage Ratio (as defined in the Credit Agreement) by increasing the minimum permitted Fixed Charge Coverage Ratio for each of the fiscal quarters ending on or after September 30, 2020.</w:t>
      </w:r>
    </w:p>
    <w:p>
      <w:pPr>
        <w:spacing w:after="0" w:line="17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acquisition was accounted for using the acquisition method of accounting. The acquisition method of accounting requires that the assets acquired and liabilities assumed be measured at their fair value as of the closing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fair value of consideration for the acquired business on the October 1, 2020 closing date: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33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Amounts</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purchase price at closing</w:t>
            </w:r>
          </w:p>
        </w:tc>
        <w:tc>
          <w:tcPr>
            <w:tcW w:w="5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9,664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Working capital adjustments</w:t>
            </w: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payout of contingent consideration (1)</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23"/>
        </w:trPr>
        <w:tc>
          <w:tcPr>
            <w:tcW w:w="4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Fair Value of Consideration</w:t>
            </w:r>
          </w:p>
        </w:tc>
        <w:tc>
          <w:tcPr>
            <w:tcW w:w="5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40" w:type="dxa"/>
            <w:vAlign w:val="bottom"/>
            <w:vMerge w:val="restart"/>
          </w:tcPr>
          <w:p>
            <w:pPr>
              <w:jc w:val="right"/>
              <w:ind w:right="42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44"/>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a valuation conducted by an independent third party, the fair value of contingent consideration at the closing date was determined to be $2.9 million During 2021, the Company revalued the contingent consideration liability related to the AmberLeaf acquisition after determining that relevant conditions for payment of such liabilities were unlikely to be satisfied. The revaluation resulted in a $2.9 million reduction to the contingent consideration liability.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cash purchase price at closing was paid with funds obtained from the following sources: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7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r>
      <w:tr>
        <w:trPr>
          <w:trHeight w:val="203"/>
        </w:trPr>
        <w:tc>
          <w:tcPr>
            <w:tcW w:w="8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balances on hand</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Increase in term loan debt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12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r>
      <w:tr>
        <w:trPr>
          <w:trHeight w:val="223"/>
        </w:trPr>
        <w:tc>
          <w:tcPr>
            <w:tcW w:w="8540" w:type="dxa"/>
            <w:vAlign w:val="bottom"/>
            <w:gridSpan w:val="2"/>
          </w:tcPr>
          <w:p>
            <w:pPr>
              <w:ind w:left="360"/>
              <w:spacing w:after="0"/>
              <w:rPr>
                <w:sz w:val="20"/>
                <w:szCs w:val="20"/>
                <w:color w:val="auto"/>
              </w:rPr>
            </w:pPr>
            <w:r>
              <w:rPr>
                <w:rFonts w:ascii="Arial" w:cs="Arial" w:eastAsia="Arial" w:hAnsi="Arial"/>
                <w:sz w:val="18"/>
                <w:szCs w:val="18"/>
                <w:b w:val="1"/>
                <w:bCs w:val="1"/>
                <w:color w:val="auto"/>
              </w:rPr>
              <w:t>Cash Paid at Closing</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allocation of the purchase price was based on estimates of the fair value of assets acquired and liabilities assumed as of October 1, 2020, as set forth below. The excess purchase price over the fair values of the net tangible assets and identifiable intangible assets was recorded as goodwill, which includes value associated with the assembled workforce. Goodwill is expected to be largely deductible for tax purposes. The valuation of net assets acquired is as follows:</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7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r>
      <w:tr>
        <w:trPr>
          <w:trHeight w:val="203"/>
        </w:trPr>
        <w:tc>
          <w:tcPr>
            <w:tcW w:w="8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Cash on hand</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319</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Working capital assets, net of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1,153</w:t>
            </w:r>
          </w:p>
        </w:tc>
        <w:tc>
          <w:tcPr>
            <w:tcW w:w="8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Identifiable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2,970</w:t>
            </w:r>
          </w:p>
        </w:tc>
        <w:tc>
          <w:tcPr>
            <w:tcW w:w="8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 not-to-compete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CEEFF"/>
          </w:tcPr>
          <w:p>
            <w:pPr>
              <w:spacing w:after="0"/>
              <w:rPr>
                <w:sz w:val="18"/>
                <w:szCs w:val="18"/>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Total identifiable intangible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4,670</w:t>
            </w:r>
          </w:p>
        </w:tc>
        <w:tc>
          <w:tcPr>
            <w:tcW w:w="8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6,404</w:t>
            </w:r>
          </w:p>
        </w:tc>
        <w:tc>
          <w:tcPr>
            <w:tcW w:w="80" w:type="dxa"/>
            <w:vAlign w:val="bottom"/>
            <w:shd w:val="clear" w:color="auto" w:fill="CCEEFF"/>
          </w:tcPr>
          <w:p>
            <w:pPr>
              <w:spacing w:after="0"/>
              <w:rPr>
                <w:sz w:val="18"/>
                <w:szCs w:val="18"/>
                <w:color w:val="auto"/>
              </w:rPr>
            </w:pPr>
          </w:p>
        </w:tc>
      </w:tr>
      <w:tr>
        <w:trPr>
          <w:trHeight w:val="223"/>
        </w:trPr>
        <w:tc>
          <w:tcPr>
            <w:tcW w:w="858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12,546</w:t>
            </w: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fair value of identifiable intangible assets has been estimated using the income approach through a discounted cash flow analysis. Specifically, the Company used the income approach through an excess earnings analysis to determine the fair value of client relationships. The value applied to the covenant not-to-compete was based on an income approach using a “with or without” analysis of this covenant in place. The trade name and technology were valued using the income approach—relief from royalty method. All identifiable intangibles are considered level 3 inputs under the fair value measurement and disclosure guidance.</w:t>
      </w:r>
    </w:p>
    <w:p>
      <w:pPr>
        <w:spacing w:after="0" w:line="188"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The Company incurred $650,000 of transaction expenses related to the acquisition in 2020 inclusive of the write-off of $185,000 of deferred finance costs. In 2021, the company incurred $140,000 of transaction expenses related to an acquisition opportunity that was halted by us. These expenses are included in selling, general and administrative expenses in the accompanying Consolidated Statement of Operations.</w:t>
      </w:r>
    </w:p>
    <w:p>
      <w:pPr>
        <w:spacing w:after="0" w:line="149" w:lineRule="exact"/>
        <w:rPr>
          <w:sz w:val="20"/>
          <w:szCs w:val="20"/>
          <w:color w:val="auto"/>
        </w:rPr>
      </w:pPr>
    </w:p>
    <w:p>
      <w:pPr>
        <w:jc w:val="both"/>
        <w:ind w:left="120" w:right="840" w:firstLine="440"/>
        <w:spacing w:after="0" w:line="342" w:lineRule="auto"/>
        <w:rPr>
          <w:sz w:val="20"/>
          <w:szCs w:val="20"/>
          <w:color w:val="auto"/>
        </w:rPr>
      </w:pPr>
      <w:r>
        <w:rPr>
          <w:rFonts w:ascii="Arial" w:cs="Arial" w:eastAsia="Arial" w:hAnsi="Arial"/>
          <w:sz w:val="16"/>
          <w:szCs w:val="16"/>
          <w:color w:val="auto"/>
        </w:rPr>
        <w:t>Included in the Consolidated Statement of Operations for year ended December 31, 2020 are revenues of $2.4 million and a net loss of approximately $0.4 million applicable to the Amber Leaf operations from our October 1, 2020 acquisition date through December 31, 2020.</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8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reflects the Company’s unaudited pro forma results had the results of AmberLeaf been included from January 1, 2018 for all periods presented:</w:t>
      </w:r>
    </w:p>
    <w:p>
      <w:pPr>
        <w:spacing w:after="0" w:line="189"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6350</wp:posOffset>
            </wp:positionV>
            <wp:extent cx="2468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ind w:left="6880"/>
        <w:spacing w:after="0"/>
        <w:tabs>
          <w:tab w:leader="none" w:pos="8380" w:val="left"/>
          <w:tab w:leader="none" w:pos="99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-3175</wp:posOffset>
            </wp:positionV>
            <wp:extent cx="24688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ind w:left="7260"/>
        <w:spacing w:after="0" w:line="232" w:lineRule="auto"/>
        <w:rPr>
          <w:sz w:val="20"/>
          <w:szCs w:val="20"/>
          <w:color w:val="auto"/>
        </w:rPr>
      </w:pPr>
      <w:r>
        <w:rPr>
          <w:rFonts w:ascii="Arial" w:cs="Arial" w:eastAsia="Arial" w:hAnsi="Arial"/>
          <w:sz w:val="14"/>
          <w:szCs w:val="14"/>
          <w:b w:val="1"/>
          <w:bCs w:val="1"/>
          <w:color w:val="auto"/>
        </w:rPr>
        <w:t>(Amounts in thousands, except per share data)</w:t>
      </w:r>
    </w:p>
    <w:p>
      <w:pPr>
        <w:spacing w:after="0" w:line="10"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222,012</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202,842</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204,846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12,221</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10,594</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12,119</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1.02</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bl>
    <w:p>
      <w:pPr>
        <w:spacing w:after="0" w:line="20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information above does not reflect all of the operating efficiencies or inefficiencies that may have resulted from the AmberLeaf acquisition in those periods prior to the acquisition. Therefore, the unaudited pro forma information above is not necessarily indicative of results that would have been achieved had the business been combined during all periods presented.</w:t>
      </w:r>
    </w:p>
    <w:p>
      <w:pPr>
        <w:spacing w:after="0" w:line="328"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Goodwill related to our June 15, 2015 acquisition of Hudson IT totaled $8.4 million. Goodwill related to our July 13, 2017 acquisition of the services division of InfoTrellis totaled $27.4 million. Goodwill related to our October 1, 2020 acquisition of AmberLeaf totaled $6.4 million. During 2018, the Company recorded a goodwill impairment related to the InfoTrellis acquisition of $9.7 million.</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 reconciliation of the beginning and ending amounts of goodwill by operating segment for the three years ended December 31, 2021 is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center"/>
              <w:ind w:left="316"/>
              <w:spacing w:after="0"/>
              <w:rPr>
                <w:sz w:val="20"/>
                <w:szCs w:val="20"/>
                <w:color w:val="auto"/>
              </w:rPr>
            </w:pPr>
            <w:r>
              <w:rPr>
                <w:rFonts w:ascii="Arial" w:cs="Arial" w:eastAsia="Arial" w:hAnsi="Arial"/>
                <w:sz w:val="14"/>
                <w:szCs w:val="14"/>
                <w:b w:val="1"/>
                <w:bCs w:val="1"/>
                <w:color w:val="auto"/>
                <w:w w:val="91"/>
              </w:rPr>
              <w:t>Years Ended 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 Staffing Services:</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8,427</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8,427</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recorded</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3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8,427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center"/>
              <w:ind w:left="316"/>
              <w:spacing w:after="0"/>
              <w:rPr>
                <w:sz w:val="20"/>
                <w:szCs w:val="20"/>
                <w:color w:val="auto"/>
              </w:rPr>
            </w:pPr>
            <w:r>
              <w:rPr>
                <w:rFonts w:ascii="Arial" w:cs="Arial" w:eastAsia="Arial" w:hAnsi="Arial"/>
                <w:sz w:val="14"/>
                <w:szCs w:val="14"/>
                <w:b w:val="1"/>
                <w:bCs w:val="1"/>
                <w:color w:val="auto"/>
                <w:w w:val="91"/>
              </w:rPr>
              <w:t>Years Ended December 31,</w:t>
            </w: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24,083</w:t>
            </w:r>
          </w:p>
        </w:tc>
        <w:tc>
          <w:tcPr>
            <w:tcW w:w="1480" w:type="dxa"/>
            <w:vAlign w:val="bottom"/>
            <w:gridSpan w:val="4"/>
          </w:tcPr>
          <w:p>
            <w:pPr>
              <w:jc w:val="right"/>
              <w:ind w:right="440"/>
              <w:spacing w:after="0"/>
              <w:rPr>
                <w:sz w:val="20"/>
                <w:szCs w:val="20"/>
                <w:color w:val="auto"/>
              </w:rPr>
            </w:pPr>
            <w:r>
              <w:rPr>
                <w:rFonts w:ascii="Arial" w:cs="Arial" w:eastAsia="Arial" w:hAnsi="Arial"/>
                <w:sz w:val="18"/>
                <w:szCs w:val="18"/>
                <w:color w:val="auto"/>
              </w:rPr>
              <w:t>$17,679</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17,679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recorded</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3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24,083</w:t>
            </w:r>
          </w:p>
        </w:tc>
        <w:tc>
          <w:tcPr>
            <w:tcW w:w="14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24,083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17,679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00" w:type="dxa"/>
            <w:vAlign w:val="bottom"/>
            <w:vMerge w:val="restart"/>
          </w:tcPr>
          <w:p>
            <w:pPr>
              <w:jc w:val="right"/>
              <w:ind w:right="2130"/>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6"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amortizing the identifiable intangible assets on a straight-line basis over estimated average lives ranging from 3 to 12 years.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Identifiable intangible assets were comprised of the following as of December 31, 2021 and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As of December 31, 2021</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70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Amortization</w:t>
            </w:r>
          </w:p>
        </w:tc>
        <w:tc>
          <w:tcPr>
            <w:tcW w:w="16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Accumulative</w:t>
            </w:r>
          </w:p>
        </w:tc>
        <w:tc>
          <w:tcPr>
            <w:tcW w:w="3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320" w:type="dxa"/>
            <w:vAlign w:val="bottom"/>
            <w:gridSpan w:val="2"/>
            <w:vMerge w:val="continue"/>
          </w:tcPr>
          <w:p>
            <w:pPr>
              <w:spacing w:after="0"/>
              <w:rPr>
                <w:sz w:val="13"/>
                <w:szCs w:val="13"/>
                <w:color w:val="auto"/>
              </w:rPr>
            </w:pPr>
          </w:p>
        </w:tc>
        <w:tc>
          <w:tcPr>
            <w:tcW w:w="170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3"/>
              </w:rPr>
              <w:t>Period (In Years)</w:t>
            </w:r>
          </w:p>
        </w:tc>
        <w:tc>
          <w:tcPr>
            <w:tcW w:w="200" w:type="dxa"/>
            <w:vAlign w:val="bottom"/>
          </w:tcPr>
          <w:p>
            <w:pPr>
              <w:spacing w:after="0"/>
              <w:rPr>
                <w:sz w:val="13"/>
                <w:szCs w:val="13"/>
                <w:color w:val="auto"/>
              </w:rPr>
            </w:pPr>
          </w:p>
        </w:tc>
        <w:tc>
          <w:tcPr>
            <w:tcW w:w="142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Value</w:t>
            </w:r>
          </w:p>
        </w:tc>
        <w:tc>
          <w:tcPr>
            <w:tcW w:w="11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IT Staffing Services:</w:t>
            </w: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7,999</w:t>
            </w:r>
          </w:p>
        </w:tc>
        <w:tc>
          <w:tcPr>
            <w:tcW w:w="6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4,361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19,641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6,503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13,138</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3"/>
        </w:trPr>
        <w:tc>
          <w:tcPr>
            <w:tcW w:w="532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Intangible Assets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14,339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3"/>
              </w:rPr>
              <w:t>As of December 31, 2020</w:t>
            </w: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70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Amortization</w:t>
            </w:r>
          </w:p>
        </w:tc>
        <w:tc>
          <w:tcPr>
            <w:tcW w:w="16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Accumulative</w:t>
            </w:r>
          </w:p>
        </w:tc>
        <w:tc>
          <w:tcPr>
            <w:tcW w:w="3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320" w:type="dxa"/>
            <w:vAlign w:val="bottom"/>
            <w:gridSpan w:val="2"/>
            <w:vMerge w:val="continue"/>
          </w:tcPr>
          <w:p>
            <w:pPr>
              <w:spacing w:after="0"/>
              <w:rPr>
                <w:sz w:val="13"/>
                <w:szCs w:val="13"/>
                <w:color w:val="auto"/>
              </w:rPr>
            </w:pPr>
          </w:p>
        </w:tc>
        <w:tc>
          <w:tcPr>
            <w:tcW w:w="170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3"/>
              </w:rPr>
              <w:t>Period (In Years)</w:t>
            </w:r>
          </w:p>
        </w:tc>
        <w:tc>
          <w:tcPr>
            <w:tcW w:w="200" w:type="dxa"/>
            <w:vAlign w:val="bottom"/>
          </w:tcPr>
          <w:p>
            <w:pPr>
              <w:spacing w:after="0"/>
              <w:rPr>
                <w:sz w:val="13"/>
                <w:szCs w:val="13"/>
                <w:color w:val="auto"/>
              </w:rPr>
            </w:pPr>
          </w:p>
        </w:tc>
        <w:tc>
          <w:tcPr>
            <w:tcW w:w="142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Value</w:t>
            </w:r>
          </w:p>
        </w:tc>
        <w:tc>
          <w:tcPr>
            <w:tcW w:w="11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IT Staffing Services:</w:t>
            </w: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7,999</w:t>
            </w:r>
          </w:p>
        </w:tc>
        <w:tc>
          <w:tcPr>
            <w:tcW w:w="6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3,694</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 and Analytics Services: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Client relationships</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19,641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Covenant-not-to-compete</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Trade name</w:t>
            </w: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3"/>
        </w:trPr>
        <w:tc>
          <w:tcPr>
            <w:tcW w:w="532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Intangible Assets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33,099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11,169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Amortization expense for the years ended December 31, 2021, 2020 and 2019 totaled $3.2 million, $2.8 million and $2.7 million, respectively and is included in selling, general and administrative expenses in the Consolidated Statement of Operations.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estimated aggregate amortization expense for intangible assets for the years ending December 31, 2022 through 2026 is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5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$2,987</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$2,772</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$2,693</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$2,553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$2,413</w:t>
            </w:r>
          </w:p>
        </w:tc>
      </w:tr>
      <w:tr>
        <w:trPr>
          <w:trHeight w:val="365"/>
        </w:trPr>
        <w:tc>
          <w:tcPr>
            <w:tcW w:w="3500" w:type="dxa"/>
            <w:vAlign w:val="bottom"/>
          </w:tcPr>
          <w:p>
            <w:pPr>
              <w:spacing w:after="0"/>
              <w:rPr>
                <w:sz w:val="24"/>
                <w:szCs w:val="24"/>
                <w:color w:val="auto"/>
              </w:rPr>
            </w:pPr>
          </w:p>
        </w:tc>
        <w:tc>
          <w:tcPr>
            <w:tcW w:w="3860" w:type="dxa"/>
            <w:vAlign w:val="bottom"/>
          </w:tcPr>
          <w:p>
            <w:pPr>
              <w:jc w:val="right"/>
              <w:ind w:right="1670"/>
              <w:spacing w:after="0"/>
              <w:rPr>
                <w:sz w:val="20"/>
                <w:szCs w:val="20"/>
                <w:color w:val="auto"/>
              </w:rPr>
            </w:pPr>
            <w:r>
              <w:rPr>
                <w:rFonts w:ascii="Arial" w:cs="Arial" w:eastAsia="Arial" w:hAnsi="Arial"/>
                <w:sz w:val="18"/>
                <w:szCs w:val="18"/>
                <w:color w:val="auto"/>
              </w:rPr>
              <w:t>61</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Company had cash and cash equivalents consisting of cash balances on hand and money market funds that totaled $6.6 million at December 31, 2021 and $7.7 million at December 31, 2020. There were no restrictions on the Company’s cash balances during the periods presented.</w:t>
      </w:r>
    </w:p>
    <w:p>
      <w:pPr>
        <w:spacing w:after="0" w:line="268"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and Exhibit 10.2 to the Form 8-K/A filed with the SEC on January 4, 2022. Additionally, the facility includes an accordion feature for additional borrowing of up to $20 million upon satisfaction of certain conditions.</w:t>
      </w:r>
    </w:p>
    <w:p>
      <w:pPr>
        <w:spacing w:after="0" w:line="19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1" w:lineRule="exact"/>
        <w:rPr>
          <w:sz w:val="20"/>
          <w:szCs w:val="20"/>
          <w:color w:val="auto"/>
        </w:rPr>
      </w:pPr>
    </w:p>
    <w:p>
      <w:pPr>
        <w:ind w:left="120" w:right="460"/>
        <w:spacing w:after="0" w:line="260" w:lineRule="auto"/>
        <w:rPr>
          <w:sz w:val="20"/>
          <w:szCs w:val="20"/>
          <w:color w:val="auto"/>
        </w:rPr>
      </w:pPr>
      <w:r>
        <w:rPr>
          <w:rFonts w:ascii="Arial" w:cs="Arial" w:eastAsia="Arial" w:hAnsi="Arial"/>
          <w:sz w:val="18"/>
          <w:szCs w:val="18"/>
          <w:color w:val="auto"/>
        </w:rPr>
        <w:t>$10.0 million; and (ii) the sum of 85% of eligible Canadian receivables, plus 60% of eligible Canadian unbilled receivables, less a reserve amount established by the administrative agent.</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Amounts borrowed under the Term Loan are required to be repaid in consecutive quarterly installments through and including the maturity date of October 1, 2024. The principal amount of each quarterly installment payable on the Term Loan equals $1.1 million through and including the maturity date, with the maturity date payment equal to the outstanding amount of the loan on that date.</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Borrowings under the revolver and the term loan, at the Company’s election, bear interest at either (a) the higher of PNC’s prime rate or the federal funds rate plus 0.50%, plus an applicable margin determined based upon the Company’s senior leverage ratio or (b) the Bloomberg Short-Term Bank Yield Index (“BSBY”), plus an applicable margin determined based upon the Company’s senior leverage ratio. The applicable margin on the base rate is between 0.50% and 1.25% on revolver borrowings and between 1.75% and 2.50% on term loans. The applicable margin on the BSBY is between 1.50% and 2.25% on revolver borrowings and between 2.75% and 3.50% on term loans. A 20 to 30-basis point per annum commitment fee on the unused portion of the revolver facility is charged and due monthly in arrears. The applicable commitment fee is determined based upon the Company’s senior leverage ratio.</w:t>
      </w:r>
    </w:p>
    <w:p>
      <w:pPr>
        <w:spacing w:after="0" w:line="195"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December 31, 2021, the Company was in compliance with all provisions under the facility.</w:t>
      </w:r>
    </w:p>
    <w:p>
      <w:pPr>
        <w:spacing w:after="0" w:line="15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 connection with securing the commitments under the Credit Agreement and the April 20, 2018, October 1, 2020 and December 29, 2021 amendments to the Credit Agreement, the Company paid a commitment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86"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fee and incurred deferred financing costs totaling $975,000, which were capitalized and are being amortized as interest expense over the life of the facility. Deferred financing costs of $366,000 and $225,000 (net of amortization) as of December 31, 2021 and December 31, 2020, respectively, are presented as reductions in long-term debt in the Company’s Consolidated Balance Sheets.</w:t>
      </w:r>
    </w:p>
    <w:p>
      <w:pPr>
        <w:spacing w:after="0" w:line="184"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As of December 31, 2021 and 2020, the Company’s outstanding borrowings under the Revolver totaled $0 million and $0 million, respectively; and unused borrowing capacity available was approximately $32.4 million and $22.0 million, respectively. The Company’s outstanding borrowings under the term loan were $13.1 million and $17.5 million at December 31, 2021 and 2020, respectively. Additionally, under the Term Loan agreement there is a mandatory repayment requirement related to excess cash flows (as defined in the Credit Agreement) generated in a given fiscal year. This provision takes effect in first quarter of 2023 should the Company senior leverage ratio exceeds 1.50X.</w:t>
      </w:r>
    </w:p>
    <w:p>
      <w:pPr>
        <w:spacing w:after="0" w:line="16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December 31, 2021, the annual aggregate maturities of our outstanding debt (exclusive of deferred financing costs amortization) during each of the next five years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Amount</w:t>
            </w:r>
          </w:p>
        </w:tc>
      </w:t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(Amounts in thousands)</w:t>
            </w:r>
          </w:p>
        </w:tc>
        <w:tc>
          <w:tcPr>
            <w:tcW w:w="60" w:type="dxa"/>
            <w:vAlign w:val="bottom"/>
          </w:tcPr>
          <w:p>
            <w:pPr>
              <w:spacing w:after="0"/>
              <w:rPr>
                <w:sz w:val="12"/>
                <w:szCs w:val="12"/>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6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4,400</w:t>
            </w:r>
          </w:p>
        </w:tc>
        <w:tc>
          <w:tcPr>
            <w:tcW w:w="6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6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6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Company rents certain office facilities and equipment under noncancelable operating leases. As of December 31, 2021, approximately 97,000 square feet of office space is utilized for our sales and recruiting offices, delivery centers, and corporate headquarters. All of our leases are classified as operating leases. The average initial lease term is four years. Several leases have an option to renew, at our sole discretion, for an additional term. Our present lease terms range from less than one year to 5.2 years with a weighted average remaining term of 3.9 years. Leases with an initial term of twelve months or less are not recorded on the balance sheet.</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balance sheet classification of the lease assets and related lease liabilities: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2021</w:t>
            </w:r>
          </w:p>
        </w:tc>
        <w:tc>
          <w:tcPr>
            <w:tcW w:w="23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 2020</w:t>
            </w:r>
          </w:p>
        </w:tc>
      </w:tr>
      <w:tr>
        <w:trPr>
          <w:trHeight w:val="142"/>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447"/>
              <w:spacing w:after="0" w:line="142" w:lineRule="exact"/>
              <w:rPr>
                <w:sz w:val="20"/>
                <w:szCs w:val="20"/>
                <w:color w:val="auto"/>
              </w:rPr>
            </w:pPr>
            <w:r>
              <w:rPr>
                <w:rFonts w:ascii="Arial" w:cs="Arial" w:eastAsia="Arial" w:hAnsi="Arial"/>
                <w:sz w:val="14"/>
                <w:szCs w:val="14"/>
                <w:b w:val="1"/>
                <w:bCs w:val="1"/>
                <w:color w:val="auto"/>
                <w:w w:val="97"/>
              </w:rPr>
              <w:t>( in thousands)</w:t>
            </w: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Long-term operating lease right-of-use assets</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4,894</w:t>
            </w:r>
          </w:p>
        </w:tc>
        <w:tc>
          <w:tcPr>
            <w:tcW w:w="15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3,286</w:t>
            </w:r>
          </w:p>
        </w:tc>
        <w:tc>
          <w:tcPr>
            <w:tcW w:w="6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Short-term operating lease liability</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1,479</w:t>
            </w:r>
          </w:p>
        </w:tc>
        <w:tc>
          <w:tcPr>
            <w:tcW w:w="15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1,079</w:t>
            </w:r>
          </w:p>
        </w:tc>
        <w:tc>
          <w:tcPr>
            <w:tcW w:w="6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liability</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60" w:type="dxa"/>
            <w:vAlign w:val="bottom"/>
            <w:shd w:val="clear" w:color="auto" w:fill="CCEEFF"/>
          </w:tcPr>
          <w:p>
            <w:pPr>
              <w:spacing w:after="0"/>
              <w:rPr>
                <w:sz w:val="18"/>
                <w:szCs w:val="18"/>
                <w:color w:val="auto"/>
              </w:rPr>
            </w:pPr>
          </w:p>
        </w:tc>
      </w:tr>
      <w:tr>
        <w:trPr>
          <w:trHeight w:val="223"/>
        </w:trPr>
        <w:tc>
          <w:tcPr>
            <w:tcW w:w="57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110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6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Future minimum rental payments for office facilities and equipment under the Company’s noncancelable operating leases are as follows:</w:t>
      </w:r>
    </w:p>
    <w:p>
      <w:pPr>
        <w:sectPr>
          <w:pgSz w:w="11900" w:h="16838" w:orient="portrait"/>
          <w:cols w:equalWidth="0" w:num="1">
            <w:col w:w="10400"/>
          </w:cols>
          <w:pgMar w:left="320" w:top="486" w:right="1179" w:bottom="1440" w:gutter="0" w:footer="0" w:header="0"/>
        </w:sectPr>
      </w:pPr>
    </w:p>
    <w:bookmarkStart w:id="66" w:name="page67"/>
    <w:bookmarkEnd w:id="66"/>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Amount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760" w:type="dxa"/>
            <w:vAlign w:val="bottom"/>
            <w:gridSpan w:val="4"/>
          </w:tcPr>
          <w:p>
            <w:pPr>
              <w:ind w:left="2480"/>
              <w:spacing w:after="0"/>
              <w:rPr>
                <w:sz w:val="20"/>
                <w:szCs w:val="20"/>
                <w:color w:val="auto"/>
              </w:rPr>
            </w:pPr>
            <w:r>
              <w:rPr>
                <w:rFonts w:ascii="Arial" w:cs="Arial" w:eastAsia="Arial" w:hAnsi="Arial"/>
                <w:sz w:val="14"/>
                <w:szCs w:val="14"/>
                <w:b w:val="1"/>
                <w:bCs w:val="1"/>
                <w:color w:val="auto"/>
                <w:w w:val="99"/>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1"/>
              </w:rPr>
              <w:t>(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2023</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2025</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operating lease liabilities</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weighted average discount rate used to calculate the present value of future lease payments was 4.2%.</w:t>
      </w:r>
    </w:p>
    <w:p>
      <w:pPr>
        <w:spacing w:after="0" w:line="225"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We recognize rent expense for these leases on a straight-line basis over the lease term. Rental expense for the years ended December 31, 2021, 2020 and 2019 totaled $1.8 million, $1.6 million and $1.6 million, respectively.</w:t>
      </w:r>
    </w:p>
    <w:p>
      <w:pPr>
        <w:spacing w:after="0" w:line="170"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Total cash paid for lease liabilities for the years ended December 31, 2021, 2020 and 2019 totaled $1.5 million, $1.7 million and $1.6 million, respectively.</w:t>
      </w:r>
    </w:p>
    <w:p>
      <w:pPr>
        <w:spacing w:after="0" w:line="170" w:lineRule="exact"/>
        <w:rPr>
          <w:sz w:val="20"/>
          <w:szCs w:val="20"/>
          <w:color w:val="auto"/>
        </w:rPr>
      </w:pPr>
    </w:p>
    <w:p>
      <w:pPr>
        <w:ind w:left="4" w:right="840" w:firstLine="440"/>
        <w:spacing w:after="0" w:line="277" w:lineRule="auto"/>
        <w:rPr>
          <w:sz w:val="20"/>
          <w:szCs w:val="20"/>
          <w:color w:val="auto"/>
        </w:rPr>
      </w:pPr>
      <w:r>
        <w:rPr>
          <w:rFonts w:ascii="Arial" w:cs="Arial" w:eastAsia="Arial" w:hAnsi="Arial"/>
          <w:sz w:val="18"/>
          <w:szCs w:val="18"/>
          <w:color w:val="auto"/>
        </w:rPr>
        <w:t>New leases entered into during the years ended December 31, 2021, 2020 and 2019 totaled $3.1 million, $0.2 million and $0.5 million, respectively, and are considered non cash transactions.</w:t>
      </w:r>
    </w:p>
    <w:p>
      <w:pPr>
        <w:spacing w:after="0" w:line="315" w:lineRule="exact"/>
        <w:rPr>
          <w:sz w:val="20"/>
          <w:szCs w:val="20"/>
          <w:color w:val="auto"/>
        </w:rPr>
      </w:pPr>
    </w:p>
    <w:p>
      <w:pPr>
        <w:ind w:left="424" w:hanging="424"/>
        <w:spacing w:after="0"/>
        <w:tabs>
          <w:tab w:leader="none" w:pos="424"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Payroll Tax Liability</w:t>
      </w:r>
    </w:p>
    <w:p>
      <w:pPr>
        <w:spacing w:after="0" w:line="12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As allowed under the Coronavirus Aid, Relief and Economic Security (CARES) Act, the Company elected to defer payment of the employer’s share of social security tax. As of December 31, 2021 and 2020, the balance of this liability is $2.3 million and $4.6 million, respectively. The Company paid $2.3 million of the deferred amount in December 2021 and is required to repay the remaining $2.3 million by December 31, 2022 which is reflected as part of current liabilities under the caption accrued payroll and related costs. As of December 31, 2021 and 2020, the long-term liability balance, under the caption long-term payroll tax liabilities, is $0 and $2.3 million, respectively.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104"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21"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In the ordinary course of business, the Company is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10"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Company provides an Employee Retirement Savings Plan (the “Retirement Plan”) under Section 401(k) of the Internal Revenue Code of 1986, as amended (the “Code”), that covers substantially all U.S.-based salaried employees. Concurrent with the 2015 acquisition of Hudson IT, the Company expanded employee eligibility under the Retirement Plan to include all U.S.-based W-2 hourly employees. Employees may contribute a percentage of eligible compensation to the Retirement Plan, subject to certain limits under the Code. For Hudson IT employees enrolled in the Hudson Employee Retirement Savings Plan at the acquisition date, the Company provided a matching contribution of 50% of the first 6% of the participant’s contributed pay, subject to vesting based on their combined tenure with Hudson and Mastech. For all other employees, the Company did not provide for any matching contributions for the three years ended December 31, 2021. Effective January 1, 2020, the Company eliminated the 401(k) match for former Hudson IT employees. Mastech’s total contributions to the Retirement Plan related to the qualified Hudson IT employees totaled $0, $0 and $55,000 for the three years ended December 31, 2021, 2020 and 2019, respectively.</w:t>
      </w:r>
    </w:p>
    <w:p>
      <w:pPr>
        <w:spacing w:after="0" w:line="325"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Effective October 1, 2008, the Company adopted a Stock Incentive Plan (the “Plan”) which, as amended, provides that up to 4,900,000 shares of the Company’s common stock shall be allocated for issuance to directors, executive management and key personnel. Grants under the Plan can be made in the form of stock options, stock appreciation rights, performance shares or stock awards. As of December 31, 2021, the Company had 3,836,000 outstanding and/or exercised stock options, 260,000 vested performance shares and 266,000 outstanding and/or released restricted stock units that were issued under the Plan. Thus, as of December 31, 2021, the Company has 538,000 shares available for future grants under the Plan.</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Plan is administered by the Compensation Committee of the Board of Directors. All grants awarded under the Plan are recommended by the Committee to the Board of Directors for approval. The exercise price of stock options is set on the grant date and is not to be less than the fair market value per share of our closing stock price on that date. Grants of stock options and restricted stock awards generally vest over a three to five-year period and options expire after ten years from the grant date. Performance shares vest upon the achievement of the performance criteria and approval by the Compensation Committee of the Board of Directors.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486"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is a summary of the Company’s stock option activity for the three years ended December 31, 2021:</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Number of</w:t>
            </w:r>
          </w:p>
        </w:tc>
        <w:tc>
          <w:tcPr>
            <w:tcW w:w="1560" w:type="dxa"/>
            <w:vAlign w:val="bottom"/>
            <w:gridSpan w:val="4"/>
          </w:tcPr>
          <w:p>
            <w:pPr>
              <w:ind w:left="380"/>
              <w:spacing w:after="0"/>
              <w:rPr>
                <w:sz w:val="20"/>
                <w:szCs w:val="20"/>
                <w:color w:val="auto"/>
              </w:rPr>
            </w:pPr>
            <w:r>
              <w:rPr>
                <w:rFonts w:ascii="Arial" w:cs="Arial" w:eastAsia="Arial" w:hAnsi="Arial"/>
                <w:sz w:val="14"/>
                <w:szCs w:val="14"/>
                <w:b w:val="1"/>
                <w:bCs w:val="1"/>
                <w:color w:val="auto"/>
                <w:w w:val="94"/>
              </w:rPr>
              <w:t>Weighted Average</w:t>
            </w: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1,111,000</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683,000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Cancelled / forfeited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(67,000)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1,721,000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800,000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Cancelled / forfeited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(207,000)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2,009,000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501,000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Cancelled / forfeited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(438,000)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2,041,000</w:t>
            </w: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of December 31, 2021, the Company’s outstanding “in the money” stock options using the year-end share price of $17.07 had an aggregate intrinsic value of $13.2 million. As of December 31, 2021, the intrinsic value of vested stock options totaled $7.7 million. The total intrinsic value of options exercised during 2021, 2020 and 2019 totaled $355,000, $4.3 million and $44,000, respectively. The measurement date fair value of stock options vested during 2021, 2020 and 2019 totaled $2.1 million, $655,000 and $529,000, respectively.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table below summarizes information regarding the Company’s outstanding and exercisable stock options as of December 31, 2021:</w:t>
      </w:r>
    </w:p>
    <w:p>
      <w:pPr>
        <w:sectPr>
          <w:pgSz w:w="11900" w:h="16838" w:orient="portrait"/>
          <w:cols w:equalWidth="0" w:num="1">
            <w:col w:w="10820"/>
          </w:cols>
          <w:pgMar w:left="320" w:top="486" w:right="759" w:bottom="1440" w:gutter="0" w:footer="0" w:header="0"/>
        </w:sectPr>
      </w:pPr>
    </w:p>
    <w:bookmarkStart w:id="69" w:name="page70"/>
    <w:bookmarkEnd w:id="69"/>
    <w:tbl>
      <w:tblPr>
        <w:tblLayout w:type="fixed"/>
        <w:tblInd w:w="88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8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40" w:type="dxa"/>
            <w:vAlign w:val="bottom"/>
            <w:gridSpan w:val="4"/>
            <w:vMerge w:val="restart"/>
          </w:tcPr>
          <w:p>
            <w:pPr>
              <w:ind w:left="86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0"/>
              </w:rPr>
              <w:t>Range of Exercise Prices:</w:t>
            </w:r>
          </w:p>
        </w:tc>
        <w:tc>
          <w:tcPr>
            <w:tcW w:w="28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auto"/>
            </w:tcBorders>
            <w:vMerge w:val="continue"/>
          </w:tcPr>
          <w:p>
            <w:pPr>
              <w:spacing w:after="0"/>
              <w:rPr>
                <w:sz w:val="15"/>
                <w:szCs w:val="15"/>
                <w:color w:val="auto"/>
              </w:rPr>
            </w:pPr>
          </w:p>
        </w:tc>
        <w:tc>
          <w:tcPr>
            <w:tcW w:w="2860" w:type="dxa"/>
            <w:vAlign w:val="bottom"/>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Outstanding</w:t>
            </w:r>
          </w:p>
        </w:tc>
        <w:tc>
          <w:tcPr>
            <w:tcW w:w="860" w:type="dxa"/>
            <w:vAlign w:val="bottom"/>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15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$0.01 to $4.00</w:t>
            </w:r>
          </w:p>
        </w:tc>
        <w:tc>
          <w:tcPr>
            <w:tcW w:w="28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355,000</w:t>
            </w:r>
          </w:p>
        </w:tc>
        <w:tc>
          <w:tcPr>
            <w:tcW w:w="8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$4.01 to $8.00</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717,000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$8.01 to $12.00</w:t>
            </w:r>
          </w:p>
        </w:tc>
        <w:tc>
          <w:tcPr>
            <w:tcW w:w="28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$12.01 to $16.00</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628,000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$16.01 to $20.00</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2,041,000</w:t>
            </w:r>
          </w:p>
        </w:tc>
        <w:tc>
          <w:tcPr>
            <w:tcW w:w="8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960" w:type="dxa"/>
            <w:vAlign w:val="bottom"/>
            <w:gridSpan w:val="2"/>
          </w:tcPr>
          <w:p>
            <w:pPr>
              <w:ind w:left="86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8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40" w:type="dxa"/>
            <w:vAlign w:val="bottom"/>
            <w:gridSpan w:val="4"/>
            <w:vMerge w:val="restart"/>
          </w:tcPr>
          <w:p>
            <w:pPr>
              <w:ind w:left="86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0"/>
              </w:rPr>
              <w:t>Range of Exercise Prices:</w:t>
            </w:r>
          </w:p>
        </w:tc>
        <w:tc>
          <w:tcPr>
            <w:tcW w:w="28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2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auto"/>
            </w:tcBorders>
            <w:vMerge w:val="continue"/>
          </w:tcPr>
          <w:p>
            <w:pPr>
              <w:spacing w:after="0"/>
              <w:rPr>
                <w:sz w:val="15"/>
                <w:szCs w:val="15"/>
                <w:color w:val="auto"/>
              </w:rPr>
            </w:pPr>
          </w:p>
        </w:tc>
        <w:tc>
          <w:tcPr>
            <w:tcW w:w="2860" w:type="dxa"/>
            <w:vAlign w:val="bottom"/>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Exercisable</w:t>
            </w:r>
          </w:p>
        </w:tc>
        <w:tc>
          <w:tcPr>
            <w:tcW w:w="860" w:type="dxa"/>
            <w:vAlign w:val="bottom"/>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15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$0.01 to $4.00</w:t>
            </w:r>
          </w:p>
        </w:tc>
        <w:tc>
          <w:tcPr>
            <w:tcW w:w="28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355,000</w:t>
            </w:r>
          </w:p>
        </w:tc>
        <w:tc>
          <w:tcPr>
            <w:tcW w:w="8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$4.01 to $8.00</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268,000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$8.01 to $12.00</w:t>
            </w:r>
          </w:p>
        </w:tc>
        <w:tc>
          <w:tcPr>
            <w:tcW w:w="28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$12.01 to $16.00</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123,000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$16.01 to $20.00</w:t>
            </w:r>
          </w:p>
        </w:tc>
        <w:tc>
          <w:tcPr>
            <w:tcW w:w="28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746,000</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960" w:type="dxa"/>
            <w:vAlign w:val="bottom"/>
            <w:gridSpan w:val="2"/>
          </w:tcPr>
          <w:p>
            <w:pPr>
              <w:ind w:left="86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Stock options of 501,000 units were issued during the year ended December 31, 2021, of which 491,000 vest over a four-year period and 10,000 vest over a one-year period. Stock options of 800,000 units were issued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840"/>
          </w:cols>
          <w:pgMar w:left="440" w:top="104" w:right="6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95" w:lineRule="auto"/>
        <w:rPr>
          <w:sz w:val="20"/>
          <w:szCs w:val="20"/>
          <w:color w:val="auto"/>
        </w:rPr>
      </w:pPr>
      <w:r>
        <w:rPr>
          <w:rFonts w:ascii="Arial" w:cs="Arial" w:eastAsia="Arial" w:hAnsi="Arial"/>
          <w:sz w:val="17"/>
          <w:szCs w:val="17"/>
          <w:color w:val="auto"/>
        </w:rPr>
        <w:t xml:space="preserve">during the year ended December </w:t>
      </w:r>
      <w:r>
        <w:rPr>
          <w:rFonts w:ascii="Arial" w:cs="Arial" w:eastAsia="Arial" w:hAnsi="Arial"/>
          <w:sz w:val="16"/>
          <w:szCs w:val="16"/>
          <w:color w:val="auto"/>
        </w:rPr>
        <w:t>31</w:t>
      </w:r>
      <w:r>
        <w:rPr>
          <w:rFonts w:ascii="Arial" w:cs="Arial" w:eastAsia="Arial" w:hAnsi="Arial"/>
          <w:sz w:val="17"/>
          <w:szCs w:val="17"/>
          <w:color w:val="auto"/>
        </w:rPr>
        <w:t xml:space="preserve">, </w:t>
      </w:r>
      <w:r>
        <w:rPr>
          <w:rFonts w:ascii="Arial" w:cs="Arial" w:eastAsia="Arial" w:hAnsi="Arial"/>
          <w:sz w:val="16"/>
          <w:szCs w:val="16"/>
          <w:color w:val="auto"/>
        </w:rPr>
        <w:t>2020</w:t>
      </w:r>
      <w:r>
        <w:rPr>
          <w:rFonts w:ascii="Arial" w:cs="Arial" w:eastAsia="Arial" w:hAnsi="Arial"/>
          <w:sz w:val="17"/>
          <w:szCs w:val="17"/>
          <w:color w:val="auto"/>
        </w:rPr>
        <w:t xml:space="preserve">, of which </w:t>
      </w:r>
      <w:r>
        <w:rPr>
          <w:rFonts w:ascii="Arial" w:cs="Arial" w:eastAsia="Arial" w:hAnsi="Arial"/>
          <w:sz w:val="16"/>
          <w:szCs w:val="16"/>
          <w:color w:val="auto"/>
        </w:rPr>
        <w:t>750,000</w:t>
      </w:r>
      <w:r>
        <w:rPr>
          <w:rFonts w:ascii="Arial" w:cs="Arial" w:eastAsia="Arial" w:hAnsi="Arial"/>
          <w:sz w:val="17"/>
          <w:szCs w:val="17"/>
          <w:color w:val="auto"/>
        </w:rPr>
        <w:t xml:space="preserve"> vest over a </w:t>
      </w:r>
      <w:r>
        <w:rPr>
          <w:rFonts w:ascii="Arial" w:cs="Arial" w:eastAsia="Arial" w:hAnsi="Arial"/>
          <w:sz w:val="16"/>
          <w:szCs w:val="16"/>
          <w:color w:val="auto"/>
        </w:rPr>
        <w:t>four-year</w:t>
      </w:r>
      <w:r>
        <w:rPr>
          <w:rFonts w:ascii="Arial" w:cs="Arial" w:eastAsia="Arial" w:hAnsi="Arial"/>
          <w:sz w:val="17"/>
          <w:szCs w:val="17"/>
          <w:color w:val="auto"/>
        </w:rPr>
        <w:t xml:space="preserve"> period and </w:t>
      </w:r>
      <w:r>
        <w:rPr>
          <w:rFonts w:ascii="Arial" w:cs="Arial" w:eastAsia="Arial" w:hAnsi="Arial"/>
          <w:sz w:val="16"/>
          <w:szCs w:val="16"/>
          <w:color w:val="auto"/>
        </w:rPr>
        <w:t>50,000</w:t>
      </w:r>
      <w:r>
        <w:rPr>
          <w:rFonts w:ascii="Arial" w:cs="Arial" w:eastAsia="Arial" w:hAnsi="Arial"/>
          <w:sz w:val="17"/>
          <w:szCs w:val="17"/>
          <w:color w:val="auto"/>
        </w:rPr>
        <w:t xml:space="preserve"> vest over a one-year period. Stock options of </w:t>
      </w:r>
      <w:r>
        <w:rPr>
          <w:rFonts w:ascii="Arial" w:cs="Arial" w:eastAsia="Arial" w:hAnsi="Arial"/>
          <w:sz w:val="16"/>
          <w:szCs w:val="16"/>
          <w:color w:val="auto"/>
        </w:rPr>
        <w:t>683,000 units were issued during the year ended December 31, 2019 and vest over a five-year period. The Company used the following average assumptions with respect to the Black-Scholes option pricing model for Mastech Digital stock options issued during 2021, 2020 and 2019.</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5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 grants:</w:t>
            </w:r>
          </w:p>
        </w:tc>
        <w:tc>
          <w:tcPr>
            <w:tcW w:w="2340" w:type="dxa"/>
            <w:vAlign w:val="bottom"/>
          </w:tcPr>
          <w:p>
            <w:pPr>
              <w:spacing w:after="0"/>
              <w:rPr>
                <w:sz w:val="12"/>
                <w:szCs w:val="12"/>
                <w:color w:val="auto"/>
              </w:rPr>
            </w:pPr>
          </w:p>
        </w:tc>
        <w:tc>
          <w:tcPr>
            <w:tcW w:w="42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200" w:type="dxa"/>
            <w:vAlign w:val="bottom"/>
            <w:gridSpan w:val="3"/>
            <w:vMerge w:val="continue"/>
          </w:tcPr>
          <w:p>
            <w:pPr>
              <w:spacing w:after="0"/>
              <w:rPr>
                <w:sz w:val="11"/>
                <w:szCs w:val="11"/>
                <w:color w:val="auto"/>
              </w:rPr>
            </w:pPr>
          </w:p>
        </w:tc>
        <w:tc>
          <w:tcPr>
            <w:tcW w:w="23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3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Weighted-average dividend yield</w:t>
            </w:r>
          </w:p>
        </w:tc>
        <w:tc>
          <w:tcPr>
            <w:tcW w:w="33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68.3%</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320" w:type="dxa"/>
            <w:vAlign w:val="bottom"/>
            <w:gridSpan w:val="3"/>
          </w:tcPr>
          <w:p>
            <w:pPr>
              <w:jc w:val="right"/>
              <w:ind w:right="560"/>
              <w:spacing w:after="0"/>
              <w:rPr>
                <w:sz w:val="20"/>
                <w:szCs w:val="20"/>
                <w:color w:val="auto"/>
              </w:rPr>
            </w:pPr>
            <w:r>
              <w:rPr>
                <w:rFonts w:ascii="Arial" w:cs="Arial" w:eastAsia="Arial" w:hAnsi="Arial"/>
                <w:sz w:val="18"/>
                <w:szCs w:val="18"/>
                <w:color w:val="auto"/>
              </w:rPr>
              <w:t>3.8</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3.9</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3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$8.85</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$6.36</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rate for stock options granted during the period was determined by using a U.S. Treasury rate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that coincided with the expected term of the options.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 The Company did not contemplate a recurring dividend program. Accordingly, the dividend yield assumption used was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0.0%.</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was determined based on the historical volatility of Mastech Digital’s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Mastech Digital’s expected term was based on the exercise history of our employees and the vesting term of our stock options.</w:t>
      </w:r>
    </w:p>
    <w:p>
      <w:pPr>
        <w:sectPr>
          <w:pgSz w:w="11900" w:h="16838" w:orient="portrait"/>
          <w:cols w:equalWidth="0" w:num="1">
            <w:col w:w="11040"/>
          </w:cols>
          <w:pgMar w:left="320" w:top="486" w:right="53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t>Following is a summary of Mastech’s restricted stock activity for the three years ended December 31, 2021:</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Beginning outstanding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Awarded</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11,955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11,475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16,365</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(17,739)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(17,460)</w:t>
            </w: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Ending outstanding balance</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25,059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30,843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33,285</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aggregate intrinsic value of restricted stock units outstanding at December 31, 2021 was $428,000. The total intrinsic value of restricted shares released during 2021 totaled $289,000.</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In October 2018, the Board of Directors of the Company approved the Mastech Digital, Inc. 2019 Employee Stock Purchase Plan (the “Stock Purchase Plan”). The Stock Purchase Plan is intended to meet the requirements of Section 423 of the Code and had to be approved by the Company’s shareholders to be qualified.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64"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During the year ended December 31, 2021 and December 31, 2020, the Company issued 23,492 and 20,459 shares under the Stock Purchase Plan at an average share of $12.84 and $10.91, respectively. At December 31, 2021, there were 515,549 shares available for purchases under the Plan.</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440" w:top="125"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plans is estimated by adding the fair value of 15% of one share of stock to the fair value of 85%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Stock-based compensation expense of $2.2 million, $2.0 million and $936,000 was recognized in the Consolidated Statements of Operations for the years ended December 31, 2021, 2020, and 2019, respectively. The Company has recognized related tax benefits associated with its stock-based compensation arrangements for the years ended December 31, 2021, 2020, and 2019 of $622,000, $590,000, and $252,000, respectively. As of December 31, 2021, the total remaining unrecognized compensation expense related to non-vested stock options totaled $5.6 million and the total remaining unrecognized compensation expense related to restricted stock units amounted to $65,000 which will be amortized over the weighted-average remaining requisite service period of 0.4 years.</w:t>
      </w:r>
    </w:p>
    <w:p>
      <w:pPr>
        <w:spacing w:after="0" w:line="337"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components of income before income taxes as shown in the accompanying Consolidated Statement of Operations, consisted of the following for the years ended December 31, 2021, 2020 and 2019:</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bottom w:val="single" w:sz="8" w:color="auto"/>
            </w:tcBorders>
            <w:gridSpan w:val="8"/>
          </w:tcPr>
          <w:p>
            <w:pPr>
              <w:jc w:val="center"/>
              <w:ind w:left="382"/>
              <w:spacing w:after="0"/>
              <w:rPr>
                <w:sz w:val="20"/>
                <w:szCs w:val="20"/>
                <w:color w:val="auto"/>
              </w:rPr>
            </w:pPr>
            <w:r>
              <w:rPr>
                <w:rFonts w:ascii="Arial" w:cs="Arial" w:eastAsia="Arial" w:hAnsi="Arial"/>
                <w:sz w:val="14"/>
                <w:szCs w:val="14"/>
                <w:b w:val="1"/>
                <w:bCs w:val="1"/>
                <w:color w:val="auto"/>
                <w:w w:val="92"/>
              </w:rPr>
              <w:t>Years Ended 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Domestic</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$17,117</w:t>
            </w:r>
          </w:p>
        </w:tc>
        <w:tc>
          <w:tcPr>
            <w:tcW w:w="26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$11,476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6,787</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88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(231)</w:t>
            </w: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8,432</w:t>
            </w:r>
          </w:p>
        </w:tc>
      </w:tr>
      <w:tr>
        <w:trPr>
          <w:trHeight w:val="223"/>
        </w:trPr>
        <w:tc>
          <w:tcPr>
            <w:tcW w:w="7320" w:type="dxa"/>
            <w:vAlign w:val="bottom"/>
          </w:tcPr>
          <w:p>
            <w:pPr>
              <w:ind w:left="72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16,886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12,633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15,219</w:t>
            </w:r>
          </w:p>
        </w:tc>
        <w:tc>
          <w:tcPr>
            <w:tcW w:w="4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Company has foreign subsidiaries which generate revenues from foreign clients. Additionally, the Company has foreign subsidiaries which provide services to its U.S. operations. Accordingly, the Company allocates a portion of its income to these subsidiaries based on a “transfer pricing” model and reports such income as foreign in the above table.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86"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provision for income taxes, as shown in the accompanying Consolidated Statement of Operations, consisted of the following for the years ended December 31, 2021, 2020 and 2019:</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1"/>
              </w:rPr>
              <w:t>Years Ended December 31,</w:t>
            </w: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ind w:left="132"/>
              <w:spacing w:after="0" w:line="142" w:lineRule="exact"/>
              <w:rPr>
                <w:sz w:val="20"/>
                <w:szCs w:val="20"/>
                <w:color w:val="auto"/>
              </w:rPr>
            </w:pPr>
            <w:r>
              <w:rPr>
                <w:rFonts w:ascii="Arial" w:cs="Arial" w:eastAsia="Arial" w:hAnsi="Arial"/>
                <w:sz w:val="14"/>
                <w:szCs w:val="14"/>
                <w:b w:val="1"/>
                <w:bCs w:val="1"/>
                <w:color w:val="auto"/>
                <w:w w:val="89"/>
              </w:rPr>
              <w:t>2020</w:t>
            </w:r>
          </w:p>
        </w:tc>
        <w:tc>
          <w:tcPr>
            <w:tcW w:w="5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Federal</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$2,657</w:t>
            </w:r>
          </w:p>
        </w:tc>
        <w:tc>
          <w:tcPr>
            <w:tcW w:w="26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color w:val="auto"/>
              </w:rPr>
              <w:t>$ 3,044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$1,555</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78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713</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752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r>
      <w:tr>
        <w:trPr>
          <w:trHeight w:val="223"/>
        </w:trPr>
        <w:tc>
          <w:tcPr>
            <w:tcW w:w="20" w:type="dxa"/>
            <w:vAlign w:val="bottom"/>
          </w:tcPr>
          <w:p>
            <w:pPr>
              <w:spacing w:after="0"/>
              <w:rPr>
                <w:sz w:val="19"/>
                <w:szCs w:val="19"/>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provision</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3,604</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4,593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color w:val="auto"/>
              </w:rPr>
              <w:t>Deferred provision (benefit):</w:t>
            </w:r>
          </w:p>
        </w:tc>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78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873</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(1,340)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State</w:t>
            </w:r>
          </w:p>
        </w:tc>
        <w:tc>
          <w:tcPr>
            <w:tcW w:w="780" w:type="dxa"/>
            <w:vAlign w:val="bottom"/>
            <w:gridSpan w:val="4"/>
          </w:tcPr>
          <w:p>
            <w:pPr>
              <w:jc w:val="right"/>
              <w:ind w:right="208"/>
              <w:spacing w:after="0"/>
              <w:rPr>
                <w:sz w:val="20"/>
                <w:szCs w:val="20"/>
                <w:color w:val="auto"/>
              </w:rPr>
            </w:pPr>
            <w:r>
              <w:rPr>
                <w:rFonts w:ascii="Arial" w:cs="Arial" w:eastAsia="Arial" w:hAnsi="Arial"/>
                <w:sz w:val="18"/>
                <w:szCs w:val="18"/>
                <w:color w:val="auto"/>
              </w:rPr>
              <w:t>233</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(327)</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78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(177)</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(326)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w:t>
            </w:r>
          </w:p>
        </w:tc>
      </w:tr>
      <w:tr>
        <w:trPr>
          <w:trHeight w:val="230"/>
        </w:trPr>
        <w:tc>
          <w:tcPr>
            <w:tcW w:w="2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Total deferred provision (benefit)</w:t>
            </w:r>
          </w:p>
        </w:tc>
        <w:tc>
          <w:tcPr>
            <w:tcW w:w="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(1,993)</w:t>
            </w:r>
          </w:p>
        </w:tc>
        <w:tc>
          <w:tcPr>
            <w:tcW w:w="5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8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132</w:t>
            </w: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color w:val="auto"/>
              </w:rPr>
              <w:t>Total provision for income taxes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4,665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$ 2,772</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4,074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reconciliation of income taxes computed using our statutory U.S. income tax rate and the provision for income taxes for the years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 2020 and 2019 were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1"/>
              </w:rPr>
              <w:t>Years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80" w:type="dxa"/>
            <w:vAlign w:val="bottom"/>
            <w:gridSpan w:val="2"/>
            <w:vMerge w:val="continue"/>
          </w:tcPr>
          <w:p>
            <w:pPr>
              <w:spacing w:after="0"/>
              <w:rPr>
                <w:sz w:val="11"/>
                <w:szCs w:val="11"/>
                <w:color w:val="auto"/>
              </w:rPr>
            </w:pPr>
          </w:p>
        </w:tc>
        <w:tc>
          <w:tcPr>
            <w:tcW w:w="1660" w:type="dxa"/>
            <w:vAlign w:val="bottom"/>
          </w:tcPr>
          <w:p>
            <w:pPr>
              <w:spacing w:after="0"/>
              <w:rPr>
                <w:sz w:val="11"/>
                <w:szCs w:val="11"/>
                <w:color w:val="auto"/>
              </w:rPr>
            </w:pPr>
          </w:p>
        </w:tc>
        <w:tc>
          <w:tcPr>
            <w:tcW w:w="800" w:type="dxa"/>
            <w:vAlign w:val="bottom"/>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Income taxes computed at the federal statutory rate</w:t>
            </w:r>
          </w:p>
        </w:tc>
        <w:tc>
          <w:tcPr>
            <w:tcW w:w="16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w w:val="87"/>
              </w:rPr>
              <w:t>$3,546</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w w:val="87"/>
              </w:rPr>
              <w:t>$2,653</w:t>
            </w:r>
          </w:p>
        </w:tc>
        <w:tc>
          <w:tcPr>
            <w:tcW w:w="7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w w:val="97"/>
              </w:rPr>
              <w:t>21.0%</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w w:val="87"/>
              </w:rPr>
              <w:t>$3,196</w:t>
            </w:r>
          </w:p>
        </w:tc>
        <w:tc>
          <w:tcPr>
            <w:tcW w:w="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7"/>
              </w:rPr>
              <w:t>21.0%</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State income taxes, net of federal tax benefit</w:t>
            </w:r>
          </w:p>
        </w:tc>
        <w:tc>
          <w:tcPr>
            <w:tcW w:w="2460" w:type="dxa"/>
            <w:vAlign w:val="bottom"/>
            <w:gridSpan w:val="3"/>
          </w:tcPr>
          <w:p>
            <w:pPr>
              <w:jc w:val="right"/>
              <w:ind w:right="300"/>
              <w:spacing w:after="0"/>
              <w:rPr>
                <w:sz w:val="20"/>
                <w:szCs w:val="20"/>
                <w:color w:val="auto"/>
              </w:rPr>
            </w:pPr>
            <w:r>
              <w:rPr>
                <w:rFonts w:ascii="Arial" w:cs="Arial" w:eastAsia="Arial" w:hAnsi="Arial"/>
                <w:sz w:val="18"/>
                <w:szCs w:val="18"/>
                <w:color w:val="auto"/>
              </w:rPr>
              <w:t>962</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602</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404</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benefits from stock options/restricted shares</w:t>
            </w:r>
          </w:p>
        </w:tc>
        <w:tc>
          <w:tcPr>
            <w:tcW w:w="2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(920)</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Charge for global intangible low-taxed income (“GILTI”)</w:t>
            </w:r>
          </w:p>
        </w:tc>
        <w:tc>
          <w:tcPr>
            <w:tcW w:w="16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(20)</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69</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Difference in tax rate on foreign earnings/other</w:t>
            </w:r>
          </w:p>
        </w:tc>
        <w:tc>
          <w:tcPr>
            <w:tcW w:w="2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172</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7</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4,665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21.9%</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26.8%</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60" w:type="dxa"/>
            <w:vAlign w:val="bottom"/>
            <w:vMerge w:val="restart"/>
          </w:tcPr>
          <w:p>
            <w:pPr>
              <w:jc w:val="right"/>
              <w:ind w:right="750"/>
              <w:spacing w:after="0"/>
              <w:rPr>
                <w:sz w:val="20"/>
                <w:szCs w:val="20"/>
                <w:color w:val="auto"/>
              </w:rPr>
            </w:pPr>
            <w:r>
              <w:rPr>
                <w:rFonts w:ascii="Arial" w:cs="Arial" w:eastAsia="Arial" w:hAnsi="Arial"/>
                <w:sz w:val="18"/>
                <w:szCs w:val="18"/>
                <w:color w:val="auto"/>
              </w:rPr>
              <w:t>69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deferred tax assets and liabilities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At December 31,</w:t>
            </w: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ind w:right="91"/>
              <w:spacing w:after="0" w:line="142" w:lineRule="exact"/>
              <w:rPr>
                <w:sz w:val="20"/>
                <w:szCs w:val="20"/>
                <w:color w:val="auto"/>
              </w:rPr>
            </w:pPr>
            <w:r>
              <w:rPr>
                <w:rFonts w:ascii="Arial" w:cs="Arial" w:eastAsia="Arial" w:hAnsi="Arial"/>
                <w:sz w:val="14"/>
                <w:szCs w:val="14"/>
                <w:b w:val="1"/>
                <w:bCs w:val="1"/>
                <w:color w:val="auto"/>
                <w:w w:val="94"/>
              </w:rPr>
              <w:t>(Amounts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vacation and bonuses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1,274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COVID-19 payroll tax deferment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Acquisition-related transaction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intangibles and contingent consideration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Net deferred tax asset (liability)</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600" w:type="dxa"/>
            <w:vAlign w:val="bottom"/>
            <w:gridSpan w:val="2"/>
          </w:tcPr>
          <w:p>
            <w:pPr>
              <w:jc w:val="right"/>
              <w:ind w:right="5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 reconciliation of the beginning and ending amounts of unrecognized tax benefits related to uncertain tax positions, including interest and penalties, for the three years ended December 31, 2021 is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3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28"/>
        </w:trPr>
        <w:tc>
          <w:tcPr>
            <w:tcW w:w="7760" w:type="dxa"/>
            <w:vAlign w:val="bottom"/>
            <w:gridSpan w:val="3"/>
            <w:vMerge w:val="continue"/>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Unrecognized tax benefits, beginning balance</w:t>
            </w:r>
          </w:p>
        </w:tc>
        <w:tc>
          <w:tcPr>
            <w:tcW w:w="44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w w:val="96"/>
              </w:rPr>
              <w:t>$ —</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Additions related to current period</w:t>
            </w: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related to prior periods</w:t>
            </w: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Reductions related to prior periods</w:t>
            </w: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tax benefits, ending balance</w:t>
            </w:r>
          </w:p>
        </w:tc>
        <w:tc>
          <w:tcPr>
            <w:tcW w:w="4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6"/>
              </w:rPr>
              <w:t>$ —</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December 31, 2021, our valuation allowance was comprised of balances within locations of Singapore and the United Kingdom. The valuation allowance balances at these locations totaled $311,000 and $179,000 as of December 31, 2021 and 2020, respectively, and reflect net operating losses which may not be realizable in the future.</w:t>
      </w:r>
    </w:p>
    <w:p>
      <w:pPr>
        <w:spacing w:after="0" w:line="16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IRS’s audit of the Company’s 2018 tax return was completed in the third quarter of 2021 with no adjustments to our original filing. The Company’s Canadian subsidiary for years 2018 and 2019 are currently under audit.</w:t>
      </w:r>
    </w:p>
    <w:p>
      <w:pPr>
        <w:spacing w:after="0" w:line="315"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 Management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Concurrent with the Company’s July 13, 2017 borrowings under its new credit facility, the Company entered into a 44–month interest-rate swap to convert the debt’s variable interest rate to a fixed rate of interest.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color w:val="auto"/>
        </w:rPr>
        <w:t>Under the swap contracts, which matured on April 1, 2021, the Company paid interest at a fixed rate of 1.99% and received interest at a variable rate equal to the daily U.S. LIBOR on an initial notional amount of $15.0 million. Notional amounts were $0 and $8.1 million at December 31, 2021 and December 31, 2020, respectively. These swap contracts have been designated as cash flow hedging instruments and qualified as effective hedges at inception under ASC Topic 815, “Derivatives and Hedging”. These contracts are recognized on the balance sheet at fair value. The effective portion of the changes in fair value on these instruments is recorded in other comprehensive income (loss) and is reclassified into the Consolidated Statements of Operations as interest expense in the same period in which the underlying hedge transaction affects earnings. Changes in the fair value of interest-rate swap contracts deemed ineffective are recognized in the Consolidated Statements of Operations as interest expense. The fair value of the interest-rate swap contracts at December 31, 2021 and December 31, 2020 was $0 and a liability of $35,000, respectively, and is reflected in the Consolidated Balance Sheets as other current liabilities.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effect of derivative instruments on the Consolidated Statements of Operations and Comprehensive Income (“OCI”) for the year ended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2021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Derivatives in</w:t>
            </w:r>
          </w:p>
        </w:tc>
        <w:tc>
          <w:tcPr>
            <w:tcW w:w="14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Location of</w:t>
            </w: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1820" w:type="dxa"/>
            <w:vAlign w:val="bottom"/>
          </w:tcPr>
          <w:p>
            <w:pPr>
              <w:jc w:val="center"/>
              <w:ind w:right="86"/>
              <w:spacing w:after="0"/>
              <w:rPr>
                <w:sz w:val="20"/>
                <w:szCs w:val="20"/>
                <w:color w:val="auto"/>
              </w:rPr>
            </w:pPr>
            <w:r>
              <w:rPr>
                <w:rFonts w:ascii="Arial" w:cs="Arial" w:eastAsia="Arial" w:hAnsi="Arial"/>
                <w:sz w:val="14"/>
                <w:szCs w:val="14"/>
                <w:b w:val="1"/>
                <w:bCs w:val="1"/>
                <w:color w:val="auto"/>
                <w:w w:val="92"/>
              </w:rPr>
              <w:t>Location of</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ASC Topic 815</w:t>
            </w: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Gain / (Loss)</w:t>
            </w: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Gain / (Loss)</w:t>
            </w:r>
          </w:p>
        </w:tc>
        <w:tc>
          <w:tcPr>
            <w:tcW w:w="182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1"/>
              </w:rPr>
              <w:t>Gain / (Loss)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148"/>
        </w:trPr>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Cash Flow</w:t>
            </w:r>
          </w:p>
        </w:tc>
        <w:tc>
          <w:tcPr>
            <w:tcW w:w="14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Gain / (Loss)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2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9"/>
              </w:rPr>
              <w:t>reclassified in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8"/>
        </w:trPr>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Hedging</w:t>
            </w:r>
          </w:p>
        </w:tc>
        <w:tc>
          <w:tcPr>
            <w:tcW w:w="14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recognized in OCI</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Accumulated OCI</w:t>
            </w:r>
          </w:p>
        </w:tc>
        <w:tc>
          <w:tcPr>
            <w:tcW w:w="182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1"/>
              </w:rPr>
              <w:t>Income 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85"/>
        </w:trPr>
        <w:tc>
          <w:tcPr>
            <w:tcW w:w="2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Relationships</w:t>
            </w:r>
          </w:p>
        </w:tc>
        <w:tc>
          <w:tcPr>
            <w:tcW w:w="140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on Derivatives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to Income</w:t>
            </w: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to Income</w:t>
            </w:r>
          </w:p>
        </w:tc>
        <w:tc>
          <w:tcPr>
            <w:tcW w:w="1820" w:type="dxa"/>
            <w:vAlign w:val="bottom"/>
          </w:tcPr>
          <w:p>
            <w:pPr>
              <w:jc w:val="center"/>
              <w:ind w:right="86"/>
              <w:spacing w:after="0"/>
              <w:rPr>
                <w:sz w:val="20"/>
                <w:szCs w:val="20"/>
                <w:color w:val="auto"/>
              </w:rPr>
            </w:pPr>
            <w:r>
              <w:rPr>
                <w:rFonts w:ascii="Arial" w:cs="Arial" w:eastAsia="Arial" w:hAnsi="Arial"/>
                <w:sz w:val="14"/>
                <w:szCs w:val="14"/>
                <w:b w:val="1"/>
                <w:bCs w:val="1"/>
                <w:color w:val="auto"/>
                <w:w w:val="93"/>
              </w:rPr>
              <w:t>Derivatives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0" w:type="dxa"/>
            <w:vAlign w:val="bottom"/>
          </w:tcPr>
          <w:p>
            <w:pPr>
              <w:spacing w:after="0"/>
              <w:rPr>
                <w:sz w:val="1"/>
                <w:szCs w:val="1"/>
                <w:color w:val="auto"/>
              </w:rPr>
            </w:pPr>
          </w:p>
        </w:tc>
      </w:tr>
      <w:tr>
        <w:trPr>
          <w:trHeight w:val="123"/>
        </w:trPr>
        <w:tc>
          <w:tcPr>
            <w:tcW w:w="2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Borders>
              <w:top w:val="single" w:sz="8" w:color="auto"/>
            </w:tcBorders>
          </w:tcPr>
          <w:p>
            <w:pPr>
              <w:jc w:val="center"/>
              <w:ind w:left="208"/>
              <w:spacing w:after="0" w:line="123" w:lineRule="exact"/>
              <w:rPr>
                <w:sz w:val="20"/>
                <w:szCs w:val="20"/>
                <w:color w:val="auto"/>
              </w:rPr>
            </w:pPr>
            <w:r>
              <w:rPr>
                <w:rFonts w:ascii="Arial" w:cs="Arial" w:eastAsia="Arial" w:hAnsi="Arial"/>
                <w:sz w:val="14"/>
                <w:szCs w:val="14"/>
                <w:color w:val="auto"/>
                <w:w w:val="97"/>
              </w:rPr>
              <w:t>(Effective Portion)</w:t>
            </w:r>
          </w:p>
        </w:tc>
        <w:tc>
          <w:tcPr>
            <w:tcW w:w="2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(Effective Portion)</w:t>
            </w:r>
          </w:p>
        </w:tc>
        <w:tc>
          <w:tcPr>
            <w:tcW w:w="200" w:type="dxa"/>
            <w:vAlign w:val="bottom"/>
          </w:tcPr>
          <w:p>
            <w:pPr>
              <w:spacing w:after="0"/>
              <w:rPr>
                <w:sz w:val="10"/>
                <w:szCs w:val="10"/>
                <w:color w:val="auto"/>
              </w:rPr>
            </w:pPr>
          </w:p>
        </w:tc>
        <w:tc>
          <w:tcPr>
            <w:tcW w:w="1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(Effective Portion)</w:t>
            </w:r>
          </w:p>
        </w:tc>
        <w:tc>
          <w:tcPr>
            <w:tcW w:w="200" w:type="dxa"/>
            <w:vAlign w:val="bottom"/>
          </w:tcPr>
          <w:p>
            <w:pPr>
              <w:spacing w:after="0"/>
              <w:rPr>
                <w:sz w:val="10"/>
                <w:szCs w:val="10"/>
                <w:color w:val="auto"/>
              </w:rPr>
            </w:pPr>
          </w:p>
        </w:tc>
        <w:tc>
          <w:tcPr>
            <w:tcW w:w="28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(Ineffective Portion/Amounts excluded</w:t>
            </w: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2"/>
          </w:tcPr>
          <w:p>
            <w:pPr>
              <w:jc w:val="center"/>
              <w:spacing w:after="0"/>
              <w:rPr>
                <w:sz w:val="20"/>
                <w:szCs w:val="20"/>
                <w:color w:val="auto"/>
              </w:rPr>
            </w:pPr>
            <w:r>
              <w:rPr>
                <w:rFonts w:ascii="Arial" w:cs="Arial" w:eastAsia="Arial" w:hAnsi="Arial"/>
                <w:sz w:val="14"/>
                <w:szCs w:val="14"/>
                <w:color w:val="auto"/>
                <w:w w:val="92"/>
              </w:rPr>
              <w:t>from effectiveness testing)</w:t>
            </w:r>
          </w:p>
        </w:tc>
        <w:tc>
          <w:tcPr>
            <w:tcW w:w="0" w:type="dxa"/>
            <w:vAlign w:val="bottom"/>
          </w:tcPr>
          <w:p>
            <w:pPr>
              <w:spacing w:after="0"/>
              <w:rPr>
                <w:sz w:val="1"/>
                <w:szCs w:val="1"/>
                <w:color w:val="auto"/>
              </w:rPr>
            </w:pPr>
          </w:p>
        </w:tc>
      </w:tr>
      <w:tr>
        <w:trPr>
          <w:trHeight w:val="295"/>
        </w:trPr>
        <w:tc>
          <w:tcPr>
            <w:tcW w:w="2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Interest-Rate</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Swap</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Contracts</w:t>
            </w:r>
          </w:p>
        </w:tc>
        <w:tc>
          <w:tcPr>
            <w:tcW w:w="140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$35</w:t>
            </w:r>
          </w:p>
        </w:tc>
        <w:tc>
          <w:tcPr>
            <w:tcW w:w="186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820" w:type="dxa"/>
            <w:vAlign w:val="bottom"/>
          </w:tcPr>
          <w:p>
            <w:pPr>
              <w:ind w:left="460"/>
              <w:spacing w:after="0"/>
              <w:rPr>
                <w:sz w:val="20"/>
                <w:szCs w:val="20"/>
                <w:color w:val="auto"/>
              </w:rPr>
            </w:pPr>
            <w:r>
              <w:rPr>
                <w:rFonts w:ascii="Arial" w:cs="Arial" w:eastAsia="Arial" w:hAnsi="Arial"/>
                <w:sz w:val="18"/>
                <w:szCs w:val="18"/>
                <w:color w:val="auto"/>
                <w:w w:val="99"/>
              </w:rPr>
              <w:t>Interest Expense</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effect of derivative instruments on the Consolidated Statements of Operations and Comprehensive Income (“OCI”) for the year ended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2020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Derivatives in</w:t>
            </w:r>
          </w:p>
        </w:tc>
        <w:tc>
          <w:tcPr>
            <w:tcW w:w="14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Location of</w:t>
            </w: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1820" w:type="dxa"/>
            <w:vAlign w:val="bottom"/>
          </w:tcPr>
          <w:p>
            <w:pPr>
              <w:jc w:val="center"/>
              <w:ind w:right="86"/>
              <w:spacing w:after="0"/>
              <w:rPr>
                <w:sz w:val="20"/>
                <w:szCs w:val="20"/>
                <w:color w:val="auto"/>
              </w:rPr>
            </w:pPr>
            <w:r>
              <w:rPr>
                <w:rFonts w:ascii="Arial" w:cs="Arial" w:eastAsia="Arial" w:hAnsi="Arial"/>
                <w:sz w:val="14"/>
                <w:szCs w:val="14"/>
                <w:b w:val="1"/>
                <w:bCs w:val="1"/>
                <w:color w:val="auto"/>
                <w:w w:val="92"/>
              </w:rPr>
              <w:t>Location of</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ASC Topic 815</w:t>
            </w:r>
          </w:p>
        </w:tc>
        <w:tc>
          <w:tcPr>
            <w:tcW w:w="1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Gain / (Loss)</w:t>
            </w: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Gain / (Loss)</w:t>
            </w:r>
          </w:p>
        </w:tc>
        <w:tc>
          <w:tcPr>
            <w:tcW w:w="182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1"/>
              </w:rPr>
              <w:t>Gain / (Loss)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148"/>
        </w:trPr>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Cash Flow</w:t>
            </w:r>
          </w:p>
        </w:tc>
        <w:tc>
          <w:tcPr>
            <w:tcW w:w="14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Gain / (Loss)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2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9"/>
              </w:rPr>
              <w:t>reclassified in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Hedging</w:t>
            </w:r>
          </w:p>
        </w:tc>
        <w:tc>
          <w:tcPr>
            <w:tcW w:w="14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recognized in OCI</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Accumulated OCI</w:t>
            </w:r>
          </w:p>
        </w:tc>
        <w:tc>
          <w:tcPr>
            <w:tcW w:w="182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1"/>
              </w:rPr>
              <w:t>Income 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85"/>
        </w:trPr>
        <w:tc>
          <w:tcPr>
            <w:tcW w:w="2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Relationships</w:t>
            </w:r>
          </w:p>
        </w:tc>
        <w:tc>
          <w:tcPr>
            <w:tcW w:w="144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on Derivatives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to Income</w:t>
            </w: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to Income</w:t>
            </w:r>
          </w:p>
        </w:tc>
        <w:tc>
          <w:tcPr>
            <w:tcW w:w="1820" w:type="dxa"/>
            <w:vAlign w:val="bottom"/>
          </w:tcPr>
          <w:p>
            <w:pPr>
              <w:jc w:val="center"/>
              <w:ind w:right="86"/>
              <w:spacing w:after="0"/>
              <w:rPr>
                <w:sz w:val="20"/>
                <w:szCs w:val="20"/>
                <w:color w:val="auto"/>
              </w:rPr>
            </w:pPr>
            <w:r>
              <w:rPr>
                <w:rFonts w:ascii="Arial" w:cs="Arial" w:eastAsia="Arial" w:hAnsi="Arial"/>
                <w:sz w:val="14"/>
                <w:szCs w:val="14"/>
                <w:b w:val="1"/>
                <w:bCs w:val="1"/>
                <w:color w:val="auto"/>
                <w:w w:val="93"/>
              </w:rPr>
              <w:t>Derivatives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0" w:type="dxa"/>
            <w:vAlign w:val="bottom"/>
          </w:tcPr>
          <w:p>
            <w:pPr>
              <w:spacing w:after="0"/>
              <w:rPr>
                <w:sz w:val="1"/>
                <w:szCs w:val="1"/>
                <w:color w:val="auto"/>
              </w:rPr>
            </w:pPr>
          </w:p>
        </w:tc>
      </w:tr>
      <w:tr>
        <w:trPr>
          <w:trHeight w:val="123"/>
        </w:trPr>
        <w:tc>
          <w:tcPr>
            <w:tcW w:w="2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Borders>
              <w:top w:val="single" w:sz="8" w:color="auto"/>
            </w:tcBorders>
          </w:tcPr>
          <w:p>
            <w:pPr>
              <w:jc w:val="center"/>
              <w:ind w:left="168"/>
              <w:spacing w:after="0" w:line="123" w:lineRule="exact"/>
              <w:rPr>
                <w:sz w:val="20"/>
                <w:szCs w:val="20"/>
                <w:color w:val="auto"/>
              </w:rPr>
            </w:pPr>
            <w:r>
              <w:rPr>
                <w:rFonts w:ascii="Arial" w:cs="Arial" w:eastAsia="Arial" w:hAnsi="Arial"/>
                <w:sz w:val="14"/>
                <w:szCs w:val="14"/>
                <w:color w:val="auto"/>
                <w:w w:val="97"/>
              </w:rPr>
              <w:t>(Effective Portion)</w:t>
            </w:r>
          </w:p>
        </w:tc>
        <w:tc>
          <w:tcPr>
            <w:tcW w:w="2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(Effective Portion)</w:t>
            </w:r>
          </w:p>
        </w:tc>
        <w:tc>
          <w:tcPr>
            <w:tcW w:w="200" w:type="dxa"/>
            <w:vAlign w:val="bottom"/>
          </w:tcPr>
          <w:p>
            <w:pPr>
              <w:spacing w:after="0"/>
              <w:rPr>
                <w:sz w:val="10"/>
                <w:szCs w:val="10"/>
                <w:color w:val="auto"/>
              </w:rPr>
            </w:pPr>
          </w:p>
        </w:tc>
        <w:tc>
          <w:tcPr>
            <w:tcW w:w="16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(Effective Portion)</w:t>
            </w:r>
          </w:p>
        </w:tc>
        <w:tc>
          <w:tcPr>
            <w:tcW w:w="200" w:type="dxa"/>
            <w:vAlign w:val="bottom"/>
          </w:tcPr>
          <w:p>
            <w:pPr>
              <w:spacing w:after="0"/>
              <w:rPr>
                <w:sz w:val="10"/>
                <w:szCs w:val="10"/>
                <w:color w:val="auto"/>
              </w:rPr>
            </w:pPr>
          </w:p>
        </w:tc>
        <w:tc>
          <w:tcPr>
            <w:tcW w:w="28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4"/>
              </w:rPr>
              <w:t>(Ineffective Portion/Amounts excluded</w:t>
            </w: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2"/>
          </w:tcPr>
          <w:p>
            <w:pPr>
              <w:jc w:val="center"/>
              <w:spacing w:after="0"/>
              <w:rPr>
                <w:sz w:val="20"/>
                <w:szCs w:val="20"/>
                <w:color w:val="auto"/>
              </w:rPr>
            </w:pPr>
            <w:r>
              <w:rPr>
                <w:rFonts w:ascii="Arial" w:cs="Arial" w:eastAsia="Arial" w:hAnsi="Arial"/>
                <w:sz w:val="14"/>
                <w:szCs w:val="14"/>
                <w:color w:val="auto"/>
                <w:w w:val="92"/>
              </w:rPr>
              <w:t>from effectiveness testing)</w:t>
            </w:r>
          </w:p>
        </w:tc>
        <w:tc>
          <w:tcPr>
            <w:tcW w:w="0" w:type="dxa"/>
            <w:vAlign w:val="bottom"/>
          </w:tcPr>
          <w:p>
            <w:pPr>
              <w:spacing w:after="0"/>
              <w:rPr>
                <w:sz w:val="1"/>
                <w:szCs w:val="1"/>
                <w:color w:val="auto"/>
              </w:rPr>
            </w:pPr>
          </w:p>
        </w:tc>
      </w:tr>
      <w:tr>
        <w:trPr>
          <w:trHeight w:val="295"/>
        </w:trPr>
        <w:tc>
          <w:tcPr>
            <w:tcW w:w="2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Interest-Rate</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Swap</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Contracts</w:t>
            </w:r>
          </w:p>
        </w:tc>
        <w:tc>
          <w:tcPr>
            <w:tcW w:w="14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w:t>
            </w:r>
          </w:p>
        </w:tc>
        <w:tc>
          <w:tcPr>
            <w:tcW w:w="186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1820" w:type="dxa"/>
            <w:vAlign w:val="bottom"/>
          </w:tcPr>
          <w:p>
            <w:pPr>
              <w:ind w:left="460"/>
              <w:spacing w:after="0"/>
              <w:rPr>
                <w:sz w:val="20"/>
                <w:szCs w:val="20"/>
                <w:color w:val="auto"/>
              </w:rPr>
            </w:pPr>
            <w:r>
              <w:rPr>
                <w:rFonts w:ascii="Arial" w:cs="Arial" w:eastAsia="Arial" w:hAnsi="Arial"/>
                <w:sz w:val="18"/>
                <w:szCs w:val="18"/>
                <w:color w:val="auto"/>
                <w:w w:val="99"/>
              </w:rPr>
              <w:t>Interest Expense</w:t>
            </w:r>
          </w:p>
        </w:tc>
        <w:tc>
          <w:tcPr>
            <w:tcW w:w="106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on the location and amounts of derivative fair values in the Consolidated Balance Sheets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Instruments</w:t>
            </w:r>
          </w:p>
        </w:tc>
        <w:tc>
          <w:tcPr>
            <w:tcW w:w="228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20" w:type="dxa"/>
            <w:vAlign w:val="bottom"/>
            <w:gridSpan w:val="2"/>
            <w:vMerge w:val="continue"/>
          </w:tcPr>
          <w:p>
            <w:pPr>
              <w:spacing w:after="0"/>
              <w:rPr>
                <w:sz w:val="11"/>
                <w:szCs w:val="11"/>
                <w:color w:val="auto"/>
              </w:rPr>
            </w:pPr>
          </w:p>
        </w:tc>
        <w:tc>
          <w:tcPr>
            <w:tcW w:w="228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Balance Sheet Location</w:t>
            </w: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1"/>
                <w:szCs w:val="11"/>
                <w:color w:val="auto"/>
              </w:rPr>
            </w:pPr>
          </w:p>
        </w:tc>
        <w:tc>
          <w:tcPr>
            <w:tcW w:w="232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Balance Sheet Location</w:t>
            </w: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Interest-Rate Swap Contracts</w:t>
            </w:r>
          </w:p>
        </w:tc>
        <w:tc>
          <w:tcPr>
            <w:tcW w:w="19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92"/>
              </w:rPr>
              <w:t>Other Current Liabilities</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9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w w:val="93"/>
              </w:rPr>
              <w:t>Other Current Liabilities</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estimated amount of pretax income as of December 31, 2021 that is expected to be reclassified from other comprehensive income into earnings within the next 12 months is $0.</w:t>
      </w:r>
    </w:p>
    <w:p>
      <w:pPr>
        <w:spacing w:after="0" w:line="315"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Company did not purchase any shares in 2021 and 2020 to satisfy employee tax obligations related to its Stock Incentive Plan.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86"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computation of basic earnings per share (“EPS”) is based on the Company’s net income divided by the weighted average number of common shares outstanding. Diluted earnings per share reflects the potential dilution that could occur if outstanding stock options and restricted share units were exercised / released. The dilutive effect of stock options and restricted share units were calculated using the treasury stock method.</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the years ended December 31, 2021, 2020 and 2019, there were 276,000, 0 and 518,000 anti-dilutive stock options that were excluded from the computation of diluted earnings per share,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denominators of the basic and diluted EPS computations: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5820" w:type="dxa"/>
            <w:vAlign w:val="bottom"/>
            <w:vMerge w:val="restart"/>
          </w:tcPr>
          <w:p>
            <w:pPr>
              <w:spacing w:after="0"/>
              <w:rPr>
                <w:sz w:val="14"/>
                <w:szCs w:val="14"/>
                <w:color w:val="auto"/>
              </w:rPr>
            </w:pPr>
          </w:p>
        </w:tc>
        <w:tc>
          <w:tcPr>
            <w:tcW w:w="220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w w:val="91"/>
              </w:rPr>
              <w:t>Years Ended December 31,</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80" w:type="dxa"/>
            <w:vAlign w:val="bottom"/>
            <w:tcBorders>
              <w:bottom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72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Weighted-average shares outstanding:</w:t>
            </w: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11,436</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11,292</w:t>
            </w:r>
          </w:p>
        </w:tc>
        <w:tc>
          <w:tcPr>
            <w:tcW w:w="2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11,029</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options and restricted share units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658</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73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11,950</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The following table sets forth the computation of basic EPS utilizing net income and the Company’s weighted-average common stock outstanding:</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 except per share data)</w:t>
            </w: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4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12,221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9,861</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11,145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Basic weighted-average shares outstanding</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11,436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11,029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following table sets forth the computation of diluted EPS utilizing net income and the Company’s weighted-average common stock outstanding plus the weighted-average of stock options, restricted shares and performance shares: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 except per share data)</w:t>
            </w: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00" w:type="dxa"/>
            <w:vAlign w:val="bottom"/>
            <w:gridSpan w:val="3"/>
            <w:vMerge w:val="continue"/>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124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12,221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9,861</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11,145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Diluted weighted-average shares outstanding</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12,007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11,950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80" w:type="dxa"/>
            <w:vAlign w:val="bottom"/>
            <w:vMerge w:val="restart"/>
          </w:tcPr>
          <w:p>
            <w:pPr>
              <w:jc w:val="right"/>
              <w:ind w:right="2130"/>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6" w:right="5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7"/>
          <w:szCs w:val="17"/>
          <w:color w:val="auto"/>
        </w:rPr>
        <w:t>The changes in accumulated other comprehensive income (loss) for the years ended December 31, 2021, 2020 and 2019 were as follows: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Derivative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Financial</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Cash Flow Hedges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3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(197)</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(Loss) arising during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(181)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to earnings for gains realized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comprehensive (loss) – year 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5380" w:type="dxa"/>
            <w:vAlign w:val="bottom"/>
            <w:gridSpan w:val="3"/>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9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arising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Reclassification to earnings for gains 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Net other comprehensive income (loss) – year 2020</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9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(513)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0" w:type="dxa"/>
            <w:vAlign w:val="bottom"/>
          </w:tcPr>
          <w:p>
            <w:pPr>
              <w:spacing w:after="0"/>
              <w:rPr>
                <w:sz w:val="1"/>
                <w:szCs w:val="1"/>
                <w:color w:val="auto"/>
              </w:rPr>
            </w:pPr>
          </w:p>
        </w:tc>
      </w:tr>
      <w:tr>
        <w:trPr>
          <w:trHeight w:val="223"/>
        </w:trPr>
        <w:tc>
          <w:tcPr>
            <w:tcW w:w="5380" w:type="dxa"/>
            <w:vAlign w:val="bottom"/>
            <w:gridSpan w:val="3"/>
          </w:tcPr>
          <w:p>
            <w:pPr>
              <w:spacing w:after="0"/>
              <w:rPr>
                <w:sz w:val="20"/>
                <w:szCs w:val="20"/>
                <w:color w:val="auto"/>
              </w:rPr>
            </w:pPr>
            <w:r>
              <w:rPr>
                <w:rFonts w:ascii="Arial" w:cs="Arial" w:eastAsia="Arial" w:hAnsi="Arial"/>
                <w:sz w:val="18"/>
                <w:szCs w:val="18"/>
                <w:color w:val="auto"/>
              </w:rPr>
              <w:t>Gain (Loss) arising during the period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to earnings for gains realized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comprehensive income (loss) – year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380" w:type="dxa"/>
            <w:vAlign w:val="bottom"/>
            <w:gridSpan w:val="3"/>
          </w:tcPr>
          <w:p>
            <w:pPr>
              <w:spacing w:after="0"/>
              <w:rPr>
                <w:sz w:val="20"/>
                <w:szCs w:val="20"/>
                <w:color w:val="auto"/>
              </w:rPr>
            </w:pPr>
            <w:r>
              <w:rPr>
                <w:rFonts w:ascii="Arial" w:cs="Arial" w:eastAsia="Arial" w:hAnsi="Arial"/>
                <w:sz w:val="18"/>
                <w:szCs w:val="18"/>
                <w:color w:val="auto"/>
              </w:rPr>
              <w:t>Balance at December 31, 2021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9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net income.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13 for information regarding hedging activities.</w:t>
      </w:r>
    </w:p>
    <w:p>
      <w:pPr>
        <w:spacing w:after="0" w:line="370"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has adopted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92"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1 – Inputs are observable quoted prices (unadjusted) in active markets for identical assets and liabilities.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2 – 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3 – Inputs are unobservable that are supported by little or no market activity.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40"/>
          </w:cols>
          <w:pgMar w:left="320" w:top="486"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basis used to measure financial assets and (liabilities) at fair value on a recurring basis: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5060" w:type="dxa"/>
            <w:vAlign w:val="bottom"/>
            <w:vMerge w:val="restart"/>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93"/>
              </w:rPr>
              <w:t>Fair Value as of December 31, 2021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2</w:t>
            </w:r>
          </w:p>
        </w:tc>
        <w:tc>
          <w:tcPr>
            <w:tcW w:w="10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Interest-Rate Swap Contracts</w:t>
            </w: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Contingent consideration liabilities</w:t>
            </w: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5060" w:type="dxa"/>
            <w:vAlign w:val="bottom"/>
            <w:vMerge w:val="restart"/>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93"/>
              </w:rPr>
              <w:t>Fair Value as of December 31, 2020</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8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2</w:t>
            </w:r>
          </w:p>
        </w:tc>
        <w:tc>
          <w:tcPr>
            <w:tcW w:w="10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Interest-Rate Swap Contracts</w:t>
            </w: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0"/>
              </w:rPr>
              <w:t>$  (35)</w:t>
            </w: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Contingent consideration liabilities</w:t>
            </w: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 —</w:t>
            </w:r>
          </w:p>
        </w:tc>
        <w:tc>
          <w:tcPr>
            <w:tcW w:w="102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(2,882)</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(2,882)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fair value of interest rate swap contracts is based on quoted prices for similar instruments from a commercial bank, and therefore, the fair value measurement is considered to be within Level 2.</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fair value of the contingent consideration liability was estimated by utilizing a probability weighted simulation model to determine the fair value of contingent consideration, and therefore, the fair value measurement is considered to be within Level 3.</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2020, the Company incurred a $2.9 million contingent consideration liability related to the AmberLeaf acquisition. In 2021 and 2019, the Company revalued the contingent consideration liability related to the AmberLeaf and InfoTrellis acquisitions after determining that relevant conditions for payment of such liabilities were not satisfied. The revaluation resulted in a $2.9 million and $6.1 million reduction to the contingent consideration liability in 2021 and 2019, respectively, which is reflected in selling and administrative expenses in the Company’s Consolidated Statements of Operations, in Item 8 herein.</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provides information regarding changes in the Company’s Level 3 fair values for the contingent consideration liability for the three years ended December 31, 2021:</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2021</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8"/>
          </w:tcPr>
          <w:p>
            <w:pPr>
              <w:jc w:val="right"/>
              <w:ind w:right="100"/>
              <w:spacing w:after="0" w:line="142" w:lineRule="exact"/>
              <w:rPr>
                <w:sz w:val="20"/>
                <w:szCs w:val="20"/>
                <w:color w:val="auto"/>
              </w:rPr>
            </w:pPr>
            <w:r>
              <w:rPr>
                <w:rFonts w:ascii="Arial" w:cs="Arial" w:eastAsia="Arial" w:hAnsi="Arial"/>
                <w:sz w:val="14"/>
                <w:szCs w:val="14"/>
                <w:b w:val="1"/>
                <w:bCs w:val="1"/>
                <w:color w:val="auto"/>
              </w:rPr>
              <w:t>(Amounts 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2,882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Contingent consideration incurred</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2,882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Revaluation</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(2,882)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(6,069)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2,882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Geographic Information</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Our reporting segments are: 1) Data and Analytics Services; and 2) IT Staffing Services.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London, Dublin and Singapore,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8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consulting firm. This acquisition expands our capabilities in customer experience strategy and managed services offering for a variety of Cloud-based enterprise application across sales, marketing and customer service organizations.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learning services on a fixed price basis.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are the operating results of our reporting segments: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38,339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30,226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26,663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6"/>
              </w:rPr>
              <w:t>183,673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163,875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166,911</w:t>
            </w:r>
          </w:p>
        </w:tc>
        <w:tc>
          <w:tcPr>
            <w:tcW w:w="0" w:type="dxa"/>
            <w:vAlign w:val="bottom"/>
          </w:tcPr>
          <w:p>
            <w:pPr>
              <w:spacing w:after="0"/>
              <w:rPr>
                <w:sz w:val="1"/>
                <w:szCs w:val="1"/>
                <w:color w:val="auto"/>
              </w:rPr>
            </w:pPr>
          </w:p>
        </w:tc>
      </w:tr>
      <w:tr>
        <w:trPr>
          <w:trHeight w:val="223"/>
        </w:trPr>
        <w:tc>
          <w:tcPr>
            <w:tcW w:w="77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222,012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194,101</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193,574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Gross Margin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00" w:type="dxa"/>
            <w:vAlign w:val="bottom"/>
          </w:tcPr>
          <w:p>
            <w:pPr>
              <w:spacing w:after="0"/>
              <w:rPr>
                <w:sz w:val="18"/>
                <w:szCs w:val="18"/>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720"/>
              <w:spacing w:after="0"/>
              <w:rPr>
                <w:sz w:val="20"/>
                <w:szCs w:val="20"/>
                <w:color w:val="auto"/>
              </w:rPr>
            </w:pPr>
            <w:r>
              <w:rPr>
                <w:rFonts w:ascii="Arial" w:cs="Arial" w:eastAsia="Arial" w:hAnsi="Arial"/>
                <w:sz w:val="18"/>
                <w:szCs w:val="18"/>
                <w:color w:val="auto"/>
              </w:rPr>
              <w:t>Total gross margin %</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Data and Analytics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5,310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5,455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 Staffing Services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12,728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8,001</w:t>
            </w:r>
          </w:p>
        </w:tc>
        <w:tc>
          <w:tcPr>
            <w:tcW w:w="0" w:type="dxa"/>
            <w:vAlign w:val="bottom"/>
          </w:tcPr>
          <w:p>
            <w:pPr>
              <w:spacing w:after="0"/>
              <w:rPr>
                <w:sz w:val="1"/>
                <w:szCs w:val="1"/>
                <w:color w:val="auto"/>
              </w:rPr>
            </w:pPr>
          </w:p>
        </w:tc>
      </w:tr>
      <w:tr>
        <w:trPr>
          <w:trHeight w:val="223"/>
        </w:trPr>
        <w:tc>
          <w:tcPr>
            <w:tcW w:w="7720" w:type="dxa"/>
            <w:vAlign w:val="bottom"/>
          </w:tcPr>
          <w:p>
            <w:pPr>
              <w:ind w:left="72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16,843</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(3,170)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Revaluation of contingent consideration liability</w:t>
            </w:r>
          </w:p>
        </w:tc>
        <w:tc>
          <w:tcPr>
            <w:tcW w:w="100" w:type="dxa"/>
            <w:vAlign w:val="bottom"/>
          </w:tcPr>
          <w:p>
            <w:pPr>
              <w:spacing w:after="0"/>
              <w:rPr>
                <w:sz w:val="18"/>
                <w:szCs w:val="18"/>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2,882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transaction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7720" w:type="dxa"/>
            <w:vAlign w:val="bottom"/>
          </w:tcPr>
          <w:p>
            <w:pPr>
              <w:ind w:left="360"/>
              <w:spacing w:after="0"/>
              <w:rPr>
                <w:sz w:val="20"/>
                <w:szCs w:val="20"/>
                <w:color w:val="auto"/>
              </w:rPr>
            </w:pPr>
            <w:r>
              <w:rPr>
                <w:rFonts w:ascii="Arial" w:cs="Arial" w:eastAsia="Arial" w:hAnsi="Arial"/>
                <w:sz w:val="18"/>
                <w:szCs w:val="18"/>
                <w:color w:val="auto"/>
              </w:rPr>
              <w:t>Interest expenses and other, net</w:t>
            </w:r>
          </w:p>
        </w:tc>
        <w:tc>
          <w:tcPr>
            <w:tcW w:w="10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16,886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12,633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 reconciliation of total assets, depreciation and amortization and capital expenditures by segment:</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89"/>
              </w:rPr>
              <w:t>Amounts in thousands</w:t>
            </w:r>
          </w:p>
        </w:tc>
        <w:tc>
          <w:tcPr>
            <w:tcW w:w="160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Total Assets</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5"/>
              </w:rPr>
              <w:t>Depreciation &amp; Amortization</w:t>
            </w:r>
          </w:p>
        </w:tc>
        <w:tc>
          <w:tcPr>
            <w:tcW w:w="120" w:type="dxa"/>
            <w:vAlign w:val="bottom"/>
          </w:tcPr>
          <w:p>
            <w:pPr>
              <w:spacing w:after="0"/>
              <w:rPr>
                <w:sz w:val="14"/>
                <w:szCs w:val="14"/>
                <w:color w:val="auto"/>
              </w:rPr>
            </w:pPr>
          </w:p>
        </w:tc>
        <w:tc>
          <w:tcPr>
            <w:tcW w:w="200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Capital Expenditures</w:t>
            </w:r>
          </w:p>
        </w:tc>
        <w:tc>
          <w:tcPr>
            <w:tcW w:w="0" w:type="dxa"/>
            <w:vAlign w:val="bottom"/>
          </w:tcPr>
          <w:p>
            <w:pPr>
              <w:spacing w:after="0"/>
              <w:rPr>
                <w:sz w:val="1"/>
                <w:szCs w:val="1"/>
                <w:color w:val="auto"/>
              </w:rPr>
            </w:pPr>
          </w:p>
        </w:tc>
      </w:tr>
      <w:tr>
        <w:trPr>
          <w:trHeight w:val="149"/>
        </w:trPr>
        <w:tc>
          <w:tcPr>
            <w:tcW w:w="1380" w:type="dxa"/>
            <w:vAlign w:val="bottom"/>
            <w:tcBorders>
              <w:bottom w:val="single" w:sz="8" w:color="auto"/>
            </w:tcBorders>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ind w:left="56"/>
              <w:spacing w:after="0" w:line="129"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2021</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Data and Analytics Services</w:t>
            </w: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56,634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55,792</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$41,527</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$2,662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$2,245</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$2,078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$1,692</w:t>
            </w: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$193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IT Staffing Services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46,254</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49,057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1,317</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1,344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1,356</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203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113,702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102,046</w:t>
            </w:r>
          </w:p>
        </w:tc>
        <w:tc>
          <w:tcPr>
            <w:tcW w:w="8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90,584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3,979</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3,589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3,434</w:t>
            </w:r>
          </w:p>
        </w:tc>
        <w:tc>
          <w:tcPr>
            <w:tcW w:w="9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1,895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1,014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86" w:right="439" w:bottom="1440" w:gutter="0" w:footer="0" w:header="0"/>
        </w:sectPr>
      </w:pPr>
    </w:p>
    <w:bookmarkStart w:id="80" w:name="page81"/>
    <w:bookmarkEnd w:id="80"/>
    <w:p>
      <w:pPr>
        <w:ind w:right="600" w:firstLine="440"/>
        <w:spacing w:after="0" w:line="277" w:lineRule="auto"/>
        <w:rPr>
          <w:sz w:val="20"/>
          <w:szCs w:val="20"/>
          <w:color w:val="auto"/>
        </w:rPr>
      </w:pPr>
      <w:r>
        <w:rPr>
          <w:rFonts w:ascii="Arial" w:cs="Arial" w:eastAsia="Arial" w:hAnsi="Arial"/>
          <w:sz w:val="18"/>
          <w:szCs w:val="18"/>
          <w:color w:val="auto"/>
        </w:rPr>
        <w:t>Below is geographic information related to our revenues from external customers and fixed assets, net (equipment, enterprise software and leasehold improvements):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Equipment, Enterprise</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Revenues</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Software and Leasehold</w:t>
            </w:r>
          </w:p>
        </w:tc>
        <w:tc>
          <w:tcPr>
            <w:tcW w:w="0" w:type="dxa"/>
            <w:vAlign w:val="bottom"/>
          </w:tcPr>
          <w:p>
            <w:pPr>
              <w:spacing w:after="0"/>
              <w:rPr>
                <w:sz w:val="1"/>
                <w:szCs w:val="1"/>
                <w:color w:val="auto"/>
              </w:rPr>
            </w:pPr>
          </w:p>
        </w:tc>
      </w:tr>
      <w:tr>
        <w:trPr>
          <w:trHeight w:val="171"/>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89"/>
              </w:rPr>
              <w:t>Amounts in thousands</w:t>
            </w:r>
          </w:p>
        </w:tc>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Improvements, net</w:t>
            </w:r>
          </w:p>
        </w:tc>
        <w:tc>
          <w:tcPr>
            <w:tcW w:w="0" w:type="dxa"/>
            <w:vAlign w:val="bottom"/>
          </w:tcPr>
          <w:p>
            <w:pPr>
              <w:spacing w:after="0"/>
              <w:rPr>
                <w:sz w:val="1"/>
                <w:szCs w:val="1"/>
                <w:color w:val="auto"/>
              </w:rPr>
            </w:pPr>
          </w:p>
        </w:tc>
      </w:tr>
      <w:tr>
        <w:trPr>
          <w:trHeight w:val="148"/>
        </w:trPr>
        <w:tc>
          <w:tcPr>
            <w:tcW w:w="1380" w:type="dxa"/>
            <w:vAlign w:val="bottom"/>
            <w:tcBorders>
              <w:bottom w:val="single" w:sz="8" w:color="auto"/>
            </w:tcBorders>
            <w:vMerge w:val="continue"/>
          </w:tcPr>
          <w:p>
            <w:pPr>
              <w:spacing w:after="0"/>
              <w:rPr>
                <w:sz w:val="12"/>
                <w:szCs w:val="12"/>
                <w:color w:val="auto"/>
              </w:rPr>
            </w:pPr>
          </w:p>
        </w:tc>
        <w:tc>
          <w:tcPr>
            <w:tcW w:w="4560" w:type="dxa"/>
            <w:vAlign w:val="bottom"/>
          </w:tcPr>
          <w:p>
            <w:pPr>
              <w:spacing w:after="0"/>
              <w:rPr>
                <w:sz w:val="12"/>
                <w:szCs w:val="12"/>
                <w:color w:val="auto"/>
              </w:rPr>
            </w:pPr>
          </w:p>
        </w:tc>
        <w:tc>
          <w:tcPr>
            <w:tcW w:w="7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4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$ 212,356</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$ 189,890</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$ 188,710</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$ 2,221</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$ 1,613</w:t>
            </w: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$ 2,095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Canada</w:t>
            </w:r>
          </w:p>
        </w:tc>
        <w:tc>
          <w:tcPr>
            <w:tcW w:w="5520" w:type="dxa"/>
            <w:vAlign w:val="bottom"/>
            <w:gridSpan w:val="3"/>
          </w:tcPr>
          <w:p>
            <w:pPr>
              <w:jc w:val="right"/>
              <w:ind w:right="260"/>
              <w:spacing w:after="0"/>
              <w:rPr>
                <w:sz w:val="20"/>
                <w:szCs w:val="20"/>
                <w:color w:val="auto"/>
              </w:rPr>
            </w:pPr>
            <w:r>
              <w:rPr>
                <w:rFonts w:ascii="Arial" w:cs="Arial" w:eastAsia="Arial" w:hAnsi="Arial"/>
                <w:sz w:val="18"/>
                <w:szCs w:val="18"/>
                <w:color w:val="auto"/>
              </w:rPr>
              <w:t>6,566</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3,603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2,918</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India and Other</w:t>
            </w:r>
          </w:p>
        </w:tc>
        <w:tc>
          <w:tcPr>
            <w:tcW w:w="5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3,090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1,946</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1380" w:type="dxa"/>
            <w:vAlign w:val="bottom"/>
          </w:tcPr>
          <w:p>
            <w:pPr>
              <w:ind w:left="360"/>
              <w:spacing w:after="0"/>
              <w:rPr>
                <w:sz w:val="20"/>
                <w:szCs w:val="20"/>
                <w:color w:val="auto"/>
              </w:rPr>
            </w:pPr>
            <w:r>
              <w:rPr>
                <w:rFonts w:ascii="Arial" w:cs="Arial" w:eastAsia="Arial" w:hAnsi="Arial"/>
                <w:sz w:val="18"/>
                <w:szCs w:val="18"/>
                <w:color w:val="auto"/>
              </w:rPr>
              <w:t>Total</w:t>
            </w:r>
          </w:p>
        </w:tc>
        <w:tc>
          <w:tcPr>
            <w:tcW w:w="4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$ 222,012</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$ 194,101</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$ 193,574</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3,038</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1,971</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$ 2,476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560" w:type="dxa"/>
            <w:vAlign w:val="bottom"/>
            <w:vMerge w:val="restart"/>
          </w:tcPr>
          <w:p>
            <w:pPr>
              <w:jc w:val="right"/>
              <w:ind w:right="250"/>
              <w:spacing w:after="0"/>
              <w:rPr>
                <w:sz w:val="20"/>
                <w:szCs w:val="20"/>
                <w:color w:val="auto"/>
              </w:rPr>
            </w:pPr>
            <w:r>
              <w:rPr>
                <w:rFonts w:ascii="Arial" w:cs="Arial" w:eastAsia="Arial" w:hAnsi="Arial"/>
                <w:sz w:val="18"/>
                <w:szCs w:val="18"/>
                <w:color w:val="auto"/>
              </w:rPr>
              <w:t>75</w:t>
            </w: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5"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During the third quarter of 2021, we purchased cybersecurity software licenses from CrowdStrike, Inc. for $98,000. One of our Board members is a Board member of CrowdStrike Inc. The purchase was completed as an arm’s length transaction.</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57"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and 15d-15(b). Based upon that evaluation, the Chief Executive Officer and the Chief Financial Officer concluded that the Company’s disclosure controls and procedures were effective as of this date.</w:t>
      </w:r>
    </w:p>
    <w:p>
      <w:pPr>
        <w:spacing w:after="0" w:line="15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certifications required by Section 302 of the Sarbanes-Oxley Act of 2002 are filed as exhibits 31.1 and 31.2, respectively, to this Annual Report on Form 10-K.</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During the three months ended December 31, 2021, we were able to remediate the two prevalent material weaknesses identified in 2020: (1) management review controls designed to address risks associated with complex accounting matters that arise from significant routine and non-routine transactions related to goodwill impairment, business combinations, revenue recognition, share-based compensation, and income taxes; and</w:t>
      </w:r>
    </w:p>
    <w:p>
      <w:pPr>
        <w:spacing w:after="0" w:line="2" w:lineRule="exact"/>
        <w:rPr>
          <w:sz w:val="20"/>
          <w:szCs w:val="20"/>
          <w:color w:val="auto"/>
        </w:rPr>
      </w:pPr>
    </w:p>
    <w:p>
      <w:pPr>
        <w:ind w:left="120" w:hanging="4"/>
        <w:spacing w:after="0" w:line="252" w:lineRule="auto"/>
        <w:tabs>
          <w:tab w:leader="none" w:pos="3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technology general controls in the areas of change management, information security and IT operations applicable to a certain cloud-based environment, in place from our InfoTrellis acquisition, that did not operate effectively. The first material weakness was remediated through the hiring of several key financial managers and adopting stronger processes around each of our complex accounting matters. The second material weakness was remediated by migrating the InfoTrellis subsidiary, which was not operating effectively with respect to its IT operations and a certain system, to the Company’s financial backbone environment, Oracle Cloud, effective October 1, 2021. The Company’s 2021 evaluation and testing of its internal controls over financial reporting supported the above conclusions.</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reporting includes the maintenance of records that, in reasonable detail, accurately and fairly reflect our transactions; providing reasonable assurance that transactions are recorded as necessary for preparation of our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financial statements would be prevented or detected on a timely basis. Because of its inherent limitations, internal control over financial reporting may not prevent or detect misstatements.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7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 xml:space="preserve">The Company’s management, including the Company’s Chief Executive Officer and Chief Financial Officer, conducted an evaluation of the effectiveness of the Company’s internal control over financial reporting as of December 31, 2021. In making its assessment of internal control over financial reporting, management used the criteria described in the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(“COSO-2013”). Based upon this assessment, management has concluded that the Company’s internal control over financial reporting was effective as of December 31, 2021 and the material weaknesses described in 2020 have been remediated.</w:t>
      </w:r>
    </w:p>
    <w:p>
      <w:pPr>
        <w:spacing w:after="0" w:line="16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This Annual Report on Form 10-K does not include an attestation report of our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 on Form 10-K.</w:t>
      </w:r>
    </w:p>
    <w:p>
      <w:pPr>
        <w:spacing w:after="0" w:line="2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48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Information required by this Item, not set forth below, is incorporated herein by reference from the Company’s definitive proxy statement relating to the Annual Meeting of Shareholders scheduled for May 11, 2022, which will be filed with the Commission within 120 days after the close of the Company’s fiscal year ended December 31, 2021 (the “Proxy Statement”) under the headings “Proposal No. 1 – Election of Directors”, “Executive Officers”, “Delinquent Section 16(A) Reports” and “Board Committees and Meetings”.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We have adopted a code of ethics applicable to all of our employees, including our principal executive officer, principal financial officer and principal accounting officer, titled Code of Conduct Policy. The Code of Conduct Policy is posted on the Company’s website, </w:t>
      </w:r>
      <w:r>
        <w:rPr>
          <w:rFonts w:ascii="Arial" w:cs="Arial" w:eastAsia="Arial" w:hAnsi="Arial"/>
          <w:sz w:val="16"/>
          <w:szCs w:val="16"/>
          <w:i w:val="1"/>
          <w:iCs w:val="1"/>
          <w:color w:val="auto"/>
        </w:rPr>
        <w:t>www.mastechdigital.com</w:t>
      </w:r>
      <w:r>
        <w:rPr>
          <w:rFonts w:ascii="Arial" w:cs="Arial" w:eastAsia="Arial" w:hAnsi="Arial"/>
          <w:sz w:val="16"/>
          <w:szCs w:val="16"/>
          <w:color w:val="auto"/>
        </w:rPr>
        <w:t xml:space="preserve"> (under the “Corporate Governance” caption of the Investor Relations page). The Company intends to satisfy the disclosure requirement regarding certain amendments to, or waivers from, provisions of its code of ethics by posting such information on the Company’s website.</w:t>
      </w:r>
    </w:p>
    <w:p>
      <w:pPr>
        <w:spacing w:after="0" w:line="30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information required by this Item is incorporated by reference to the Proxy Statement under the headings “Compensation Discussion And Analysis”, “Summary Compensation Table”, “Grants Of Plan-Based Awards”, “Outstanding Equity Awards At Fiscal Year-End”, “Potential Payments Upon Termination Or Change In Control”, “Option Exercises And Stock Vested” and “Director Compensation”.</w:t>
      </w:r>
    </w:p>
    <w:p>
      <w:pPr>
        <w:spacing w:after="0" w:line="310" w:lineRule="exact"/>
        <w:rPr>
          <w:sz w:val="20"/>
          <w:szCs w:val="20"/>
          <w:color w:val="auto"/>
        </w:rPr>
      </w:pPr>
    </w:p>
    <w:p>
      <w:pPr>
        <w:ind w:left="1200" w:right="40" w:hanging="1092"/>
        <w:spacing w:after="0" w:line="282" w:lineRule="auto"/>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the Proxy Statement under the heading “Equity Compensation Plan Information”.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Security Ownership of Certain Beneficial Owners and Management</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the Proxy Statement under the headings “Security Ownership of Certain Beneficial Owners and Management”.</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the Proxy Statement under the headings “Board Committees and Meetings” and “Policies and Procedures for Approving Related Person Transactions”.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the Proxy Statement under the heading “Independent Registered Public Accountants”.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86"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35"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120" w:right="820" w:firstLine="440"/>
        <w:spacing w:after="0" w:line="308" w:lineRule="auto"/>
        <w:rPr>
          <w:sz w:val="20"/>
          <w:szCs w:val="20"/>
          <w:color w:val="auto"/>
        </w:rPr>
      </w:pPr>
      <w:r>
        <w:rPr>
          <w:rFonts w:ascii="Arial" w:cs="Arial" w:eastAsia="Arial" w:hAnsi="Arial"/>
          <w:sz w:val="17"/>
          <w:szCs w:val="17"/>
          <w:color w:val="auto"/>
        </w:rPr>
        <w:t>The following Consolidated Financial Statements of the registrant and its subsidiaries are included on pages 44 to 76 and the reports of Independent Registered Public Accounting Firm are included on pages 42 and 43 in this Annual Report on Form 10-K.</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Balance Sheets – December 31,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Statements of Operations – Years ended December 31, 2021,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Statements of Comprehensive Income – Years ended December 31, 2021,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Statements of Shareholders’ Equity – Years ended December 31, 2021,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Statements of Cash Flows – Years ended December 31, 2021,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to Consolidated Financial Statements</w:t>
      </w:r>
    </w:p>
    <w:p>
      <w:pPr>
        <w:spacing w:after="0" w:line="131"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 Schedules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Consolidated Financial Statement schedules shown below should be read in conjunction with the Consolidated Financial Statements on pages 44 to 76 in this Annual Report on Form 10-K. All other schedules are omitted because they are not applicable or not required or the required information is shown in the Consolidated Financial Statements or notes thereto.</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items appear immediately on the following page: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Schedule II – Valuation and Qualifying Accounts for the years ended December 31, 2021, 2020 and 2019.</w:t>
      </w:r>
    </w:p>
    <w:p>
      <w:pPr>
        <w:spacing w:after="0" w:line="131"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Exhibits required by Item 601 of Regulation S-K are listed in the Exhibit Index, which is incorporated herein by reference.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86"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MASTECH DIGITAL, INC.</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8"/>
              </w:rPr>
              <w:t>Balance at</w:t>
            </w:r>
          </w:p>
        </w:tc>
        <w:tc>
          <w:tcPr>
            <w:tcW w:w="300" w:type="dxa"/>
            <w:vAlign w:val="bottom"/>
          </w:tcPr>
          <w:p>
            <w:pPr>
              <w:spacing w:after="0"/>
              <w:rPr>
                <w:sz w:val="14"/>
                <w:szCs w:val="14"/>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Charged</w:t>
            </w:r>
          </w:p>
        </w:tc>
        <w:tc>
          <w:tcPr>
            <w:tcW w:w="14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Acquisitions/</w:t>
            </w: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4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Recoveries/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beginning</w:t>
            </w:r>
          </w:p>
        </w:tc>
        <w:tc>
          <w:tcPr>
            <w:tcW w:w="3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expense</w:t>
            </w:r>
          </w:p>
        </w:tc>
        <w:tc>
          <w:tcPr>
            <w:tcW w:w="12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9"/>
              </w:rPr>
              <w:t>(Write-</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of period</w:t>
            </w:r>
          </w:p>
        </w:tc>
        <w:tc>
          <w:tcPr>
            <w:tcW w:w="3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(credited)</w:t>
            </w:r>
          </w:p>
        </w:tc>
        <w:tc>
          <w:tcPr>
            <w:tcW w:w="120" w:type="dxa"/>
            <w:vAlign w:val="bottom"/>
          </w:tcPr>
          <w:p>
            <w:pPr>
              <w:spacing w:after="0"/>
              <w:rPr>
                <w:sz w:val="14"/>
                <w:szCs w:val="14"/>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offs)</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of period</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26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413</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130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(168)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   375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350"/>
        </w:trPr>
        <w:tc>
          <w:tcPr>
            <w:tcW w:w="4020" w:type="dxa"/>
            <w:vAlign w:val="bottom"/>
          </w:tcPr>
          <w:p>
            <w:pPr>
              <w:spacing w:after="0"/>
              <w:rPr>
                <w:sz w:val="24"/>
                <w:szCs w:val="24"/>
                <w:color w:val="auto"/>
              </w:rPr>
            </w:pPr>
          </w:p>
        </w:tc>
        <w:tc>
          <w:tcPr>
            <w:tcW w:w="2400" w:type="dxa"/>
            <w:vAlign w:val="bottom"/>
          </w:tcPr>
          <w:p>
            <w:pPr>
              <w:jc w:val="right"/>
              <w:ind w:right="73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0" w:type="dxa"/>
            <w:vAlign w:val="bottom"/>
            <w:tcBorders>
              <w:bottom w:val="single" w:sz="8" w:color="auto"/>
            </w:tcBorders>
            <w:gridSpan w:val="22"/>
          </w:tcPr>
          <w:p>
            <w:pPr>
              <w:ind w:left="140"/>
              <w:spacing w:after="0"/>
              <w:rPr>
                <w:sz w:val="20"/>
                <w:szCs w:val="20"/>
                <w:color w:val="auto"/>
              </w:rPr>
            </w:pPr>
            <w:r>
              <w:rPr>
                <w:rFonts w:ascii="Arial" w:cs="Arial" w:eastAsia="Arial" w:hAnsi="Arial"/>
                <w:sz w:val="14"/>
                <w:szCs w:val="14"/>
                <w:b w:val="1"/>
                <w:bCs w:val="1"/>
                <w:color w:val="auto"/>
              </w:rPr>
              <w:t>(Index Description Exhibit)</w:t>
            </w: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3"/>
                <w:szCs w:val="23"/>
                <w:color w:val="auto"/>
              </w:rPr>
            </w:pPr>
          </w:p>
        </w:tc>
        <w:tc>
          <w:tcPr>
            <w:tcW w:w="9560" w:type="dxa"/>
            <w:vAlign w:val="bottom"/>
            <w:tcBorders>
              <w:bottom w:val="single" w:sz="8" w:color="0000EE"/>
            </w:tcBorders>
            <w:gridSpan w:val="16"/>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Asset Purchase Agreement, dated July 7, 2017, by and among Mahmood Abbas, Zahid Naeem, Sachin Wadhwa, InfoTrellis Inc. and</w:t>
              </w:r>
            </w:hyperlink>
          </w:p>
        </w:tc>
        <w:tc>
          <w:tcPr>
            <w:tcW w:w="460" w:type="dxa"/>
            <w:vAlign w:val="bottom"/>
            <w:gridSpan w:val="11"/>
          </w:tcPr>
          <w:p>
            <w:pPr>
              <w:spacing w:after="0"/>
              <w:rPr>
                <w:sz w:val="23"/>
                <w:szCs w:val="23"/>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Mastech InfoTrellis Digital, Ltd., incorporated by reference to Exhibit 2.1 to Mastech Digital, Inc.’s Current Report on Form 8-K, filed</w:t>
              </w:r>
            </w:hyperlink>
          </w:p>
        </w:tc>
        <w:tc>
          <w:tcPr>
            <w:tcW w:w="300" w:type="dxa"/>
            <w:vAlign w:val="bottom"/>
            <w:gridSpan w:val="9"/>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with the SEC on July 13, 2017</w:t>
              </w:r>
            </w:hyperlink>
          </w:p>
        </w:tc>
        <w:tc>
          <w:tcPr>
            <w:tcW w:w="7820" w:type="dxa"/>
            <w:vAlign w:val="bottom"/>
            <w:gridSpan w:val="25"/>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9540" w:type="dxa"/>
            <w:vAlign w:val="bottom"/>
            <w:tcBorders>
              <w:bottom w:val="single" w:sz="8" w:color="0000EE"/>
            </w:tcBorders>
            <w:gridSpan w:val="15"/>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Asset Purchase Agreement, dated July 7, 2017, by and among Mahmood Abbas, Zahid Naeem, Sachin Wadhwa, InfoTrellis Inc. and</w:t>
              </w:r>
            </w:hyperlink>
          </w:p>
        </w:tc>
        <w:tc>
          <w:tcPr>
            <w:tcW w:w="480" w:type="dxa"/>
            <w:vAlign w:val="bottom"/>
            <w:gridSpan w:val="1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Mastech InfoTrellis, Inc., incorporated by reference to Exhibit 2.2 to Mastech Digital, Inc.’s Current Report on Form 8-K, filed with the</w:t>
              </w:r>
            </w:hyperlink>
          </w:p>
        </w:tc>
        <w:tc>
          <w:tcPr>
            <w:tcW w:w="240" w:type="dxa"/>
            <w:vAlign w:val="bottom"/>
            <w:gridSpan w:val="7"/>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SEC on July 13, 2017</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10020" w:type="dxa"/>
            <w:vAlign w:val="bottom"/>
            <w:gridSpan w:val="27"/>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Share Purchase Agreement, dated July 7, 2017, by and amongst Mastech Digital Data, Inc., 2291496 Ontario Inc., InfoTrellis India Private</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tcBorders>
              <w:top w:val="single" w:sz="8" w:color="0000EE"/>
            </w:tcBorders>
            <w:gridSpan w:val="26"/>
          </w:tcPr>
          <w:p>
            <w:pPr>
              <w:spacing w:after="0" w:line="19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Limited, Mastech Digital Private Limited and Kumaran Sasikanthan, incorporated by reference to Exhibit 2.3 to Mastech Digital, Inc.’s</w:t>
              </w:r>
            </w:hyperlink>
          </w:p>
        </w:tc>
        <w:tc>
          <w:tcPr>
            <w:tcW w:w="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Current Report on Form 8-K, filed with the SEC on July 13, 2017</w:t>
              </w:r>
            </w:hyperlink>
          </w:p>
        </w:tc>
        <w:tc>
          <w:tcPr>
            <w:tcW w:w="5000" w:type="dxa"/>
            <w:vAlign w:val="bottom"/>
            <w:tcBorders>
              <w:top w:val="single" w:sz="8" w:color="0000EE"/>
            </w:tcBorders>
            <w:gridSpan w:val="12"/>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4"/>
                <w:szCs w:val="24"/>
                <w:color w:val="auto"/>
              </w:rPr>
            </w:pPr>
          </w:p>
        </w:tc>
        <w:tc>
          <w:tcPr>
            <w:tcW w:w="9180" w:type="dxa"/>
            <w:vAlign w:val="bottom"/>
            <w:tcBorders>
              <w:bottom w:val="single" w:sz="8" w:color="0000EE"/>
            </w:tcBorders>
            <w:gridSpan w:val="13"/>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Share Purchase Agreement, dated October 1, 2020, by and among Mastech Digital Data, Inc., AmberLeaf Partners, Inc., and its</w:t>
              </w:r>
            </w:hyperlink>
          </w:p>
        </w:tc>
        <w:tc>
          <w:tcPr>
            <w:tcW w:w="840" w:type="dxa"/>
            <w:vAlign w:val="bottom"/>
            <w:gridSpan w:val="14"/>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shareholders, Lawrence F. Goldman and Don Steffen, incorporated by reference to Exhibit 10.1 to Mastech Digital, Inc.’s Current Report</w:t>
              </w:r>
            </w:hyperlink>
          </w:p>
        </w:tc>
        <w:tc>
          <w:tcPr>
            <w:tcW w:w="14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on Form 8-K, filed with the SEC on October 6, 2020</w:t>
              </w:r>
            </w:hyperlink>
          </w:p>
        </w:tc>
        <w:tc>
          <w:tcPr>
            <w:tcW w:w="6220" w:type="dxa"/>
            <w:vAlign w:val="bottom"/>
            <w:gridSpan w:val="23"/>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660" w:type="dxa"/>
            <w:vAlign w:val="bottom"/>
            <w:tcBorders>
              <w:bottom w:val="single" w:sz="8" w:color="0000EE"/>
            </w:tcBorders>
            <w:gridSpan w:val="17"/>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Amended and Restated Articles of Incorporation of Mastech Digital, Inc., incorporated by reference to Exhibit 3.1 to Mastech Digital,</w:t>
              </w:r>
            </w:hyperlink>
          </w:p>
        </w:tc>
        <w:tc>
          <w:tcPr>
            <w:tcW w:w="360" w:type="dxa"/>
            <w:vAlign w:val="bottom"/>
            <w:gridSpan w:val="10"/>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Inc.’s Current Report on Form 8-K filed with the SEC on September 12, 2016</w:t>
              </w:r>
            </w:hyperlink>
          </w:p>
        </w:tc>
        <w:tc>
          <w:tcPr>
            <w:tcW w:w="4420" w:type="dxa"/>
            <w:vAlign w:val="bottom"/>
            <w:gridSpan w:val="19"/>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80" w:type="dxa"/>
            <w:vAlign w:val="bottom"/>
            <w:tcBorders>
              <w:bottom w:val="single" w:sz="8" w:color="0000EE"/>
            </w:tcBorders>
            <w:gridSpan w:val="26"/>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Amended and Restated Bylaws of Mastech Digital, Inc., incorporated by reference to Exhibit 3.2 to Mastech Digital, Inc.’s Current Report</w:t>
              </w:r>
            </w:hyperlink>
          </w:p>
        </w:tc>
        <w:tc>
          <w:tcPr>
            <w:tcW w:w="4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on Form 8-K filed with the SEC on September 12, 2016</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020" w:type="dxa"/>
            <w:vAlign w:val="bottom"/>
            <w:gridSpan w:val="27"/>
          </w:tcPr>
          <w:p>
            <w:pPr>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Form of Common Stock Certificate of Mastech Digital, Inc., incorporated by reference to Exhibit 4.1 to Mastech Digital, Inc.’s Annual</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Report on Form 10-K filed with the SEC on March 24, 2017</w:t>
              </w:r>
            </w:hyperlink>
          </w:p>
        </w:tc>
        <w:tc>
          <w:tcPr>
            <w:tcW w:w="5360" w:type="dxa"/>
            <w:vAlign w:val="bottom"/>
            <w:tcBorders>
              <w:top w:val="single" w:sz="8" w:color="0000EE"/>
            </w:tcBorders>
            <w:gridSpan w:val="12"/>
          </w:tcPr>
          <w:p>
            <w:pPr>
              <w:spacing w:after="0"/>
              <w:rPr>
                <w:sz w:val="17"/>
                <w:szCs w:val="17"/>
                <w:color w:val="auto"/>
              </w:rPr>
            </w:pPr>
          </w:p>
        </w:tc>
        <w:tc>
          <w:tcPr>
            <w:tcW w:w="300" w:type="dxa"/>
            <w:vAlign w:val="bottom"/>
            <w:gridSpan w:val="9"/>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80" w:type="dxa"/>
            <w:vAlign w:val="bottom"/>
            <w:tcBorders>
              <w:bottom w:val="single" w:sz="8" w:color="0000EE"/>
            </w:tcBorders>
            <w:gridSpan w:val="25"/>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Registration Rights Agreement, dated September 17, 2020, by and among Mastech Digital, Inc., Ashok Trivedi, in</w:t>
              </w:r>
            </w:hyperlink>
          </w:p>
        </w:tc>
        <w:tc>
          <w:tcPr>
            <w:tcW w:w="4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his individual capacity and as trustee of the Ashok K. Trivedi Revocable Trust, STP L.P., Edani L.P., Riveda L.P., Sunil Wadhwani, in his</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80" w:type="dxa"/>
            <w:vAlign w:val="bottom"/>
            <w:tcBorders>
              <w:top w:val="single" w:sz="8" w:color="0000EE"/>
            </w:tcBorders>
            <w:gridSpan w:val="21"/>
          </w:tcPr>
          <w:p>
            <w:pPr>
              <w:spacing w:after="0" w:line="196" w:lineRule="exact"/>
              <w:rPr>
                <w:rFonts w:ascii="Arial" w:cs="Arial" w:eastAsia="Arial" w:hAnsi="Arial"/>
                <w:sz w:val="18"/>
                <w:szCs w:val="18"/>
                <w:color w:val="0000EE"/>
                <w:w w:val="97"/>
              </w:rPr>
            </w:pPr>
            <w:hyperlink r:id="rId115">
              <w:r>
                <w:rPr>
                  <w:rFonts w:ascii="Arial" w:cs="Arial" w:eastAsia="Arial" w:hAnsi="Arial"/>
                  <w:sz w:val="18"/>
                  <w:szCs w:val="18"/>
                  <w:color w:val="0000EE"/>
                  <w:w w:val="97"/>
                </w:rPr>
                <w:t>individual capacity and as trustee of The Revocable Declaration of Trust of Sunil Wadhwani, Wadhwani Partners No. 1 L.P. and</w:t>
              </w:r>
            </w:hyperlink>
          </w:p>
        </w:tc>
        <w:tc>
          <w:tcPr>
            <w:tcW w:w="140" w:type="dxa"/>
            <w:vAlign w:val="bottom"/>
            <w:gridSpan w:val="6"/>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32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Wadhwani Partners No. 2 L.P., incorporated by reference to Exhibit 10.1 to Mastech Digital, Inc.’s Current Report on Form 8-K filed with</w:t>
              </w:r>
            </w:hyperlink>
          </w:p>
        </w:tc>
        <w:tc>
          <w:tcPr>
            <w:tcW w:w="6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the SEC on September 22, 2020</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020" w:type="dxa"/>
            <w:vAlign w:val="bottom"/>
            <w:gridSpan w:val="27"/>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Description of Securities Registered under Section 12 of the Securities Exchange Act of 1934, incorporated by reference to Exhibit 4.3 to</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Mastech Digital, Inc.’s Annual Report on Form 10-K filed with the SEC on March 30, 2020</w:t>
              </w:r>
            </w:hyperlink>
          </w:p>
        </w:tc>
        <w:tc>
          <w:tcPr>
            <w:tcW w:w="3260" w:type="dxa"/>
            <w:vAlign w:val="bottom"/>
            <w:tcBorders>
              <w:top w:val="single" w:sz="8" w:color="0000EE"/>
            </w:tcBorders>
            <w:gridSpan w:val="12"/>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w:t>
            </w:r>
          </w:p>
        </w:tc>
        <w:tc>
          <w:tcPr>
            <w:tcW w:w="540" w:type="dxa"/>
            <w:vAlign w:val="bottom"/>
          </w:tcPr>
          <w:p>
            <w:pPr>
              <w:spacing w:after="0"/>
              <w:rPr>
                <w:sz w:val="24"/>
                <w:szCs w:val="24"/>
                <w:color w:val="auto"/>
              </w:rPr>
            </w:pPr>
          </w:p>
        </w:tc>
        <w:tc>
          <w:tcPr>
            <w:tcW w:w="9940" w:type="dxa"/>
            <w:vAlign w:val="bottom"/>
            <w:tcBorders>
              <w:bottom w:val="single" w:sz="8" w:color="0000EE"/>
            </w:tcBorders>
            <w:gridSpan w:val="23"/>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Mastech Digital, Inc.’s Stock Incentive Plan (as amended and restated), effective as of May 14, 2014, incorporated by reference to Exhibit</w:t>
              </w:r>
            </w:hyperlink>
          </w:p>
        </w:tc>
        <w:tc>
          <w:tcPr>
            <w:tcW w:w="80" w:type="dxa"/>
            <w:vAlign w:val="bottom"/>
            <w:gridSpan w:val="4"/>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Mastech Digital, Inc.’s Current Report on Form 8-K filed with the SEC on May 23, 2016</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40" w:type="dxa"/>
            <w:vAlign w:val="bottom"/>
            <w:gridSpan w:val="10"/>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10.2†</w:t>
            </w:r>
          </w:p>
        </w:tc>
        <w:tc>
          <w:tcPr>
            <w:tcW w:w="540" w:type="dxa"/>
            <w:vAlign w:val="bottom"/>
          </w:tcPr>
          <w:p>
            <w:pPr>
              <w:spacing w:after="0"/>
              <w:rPr>
                <w:sz w:val="24"/>
                <w:szCs w:val="24"/>
                <w:color w:val="auto"/>
              </w:rPr>
            </w:pPr>
          </w:p>
        </w:tc>
        <w:tc>
          <w:tcPr>
            <w:tcW w:w="10020" w:type="dxa"/>
            <w:vAlign w:val="bottom"/>
            <w:gridSpan w:val="27"/>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Amendment to Mastech Digital, Inc.’s Stock Incentive Plan (as amended and restated), executed May 18, 2016, incorporated by reference</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to Exhibit 10.1 to Mastech Digital, Inc.’s Current Report on Form 8-K filed with the SEC on May 23, 2016</w:t>
              </w:r>
            </w:hyperlink>
          </w:p>
        </w:tc>
        <w:tc>
          <w:tcPr>
            <w:tcW w:w="100" w:type="dxa"/>
            <w:vAlign w:val="bottom"/>
            <w:gridSpan w:val="5"/>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700" w:type="dxa"/>
            <w:vAlign w:val="bottom"/>
            <w:gridSpan w:val="11"/>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10.3†</w:t>
            </w:r>
          </w:p>
        </w:tc>
        <w:tc>
          <w:tcPr>
            <w:tcW w:w="540" w:type="dxa"/>
            <w:vAlign w:val="bottom"/>
          </w:tcPr>
          <w:p>
            <w:pPr>
              <w:spacing w:after="0"/>
              <w:rPr>
                <w:sz w:val="24"/>
                <w:szCs w:val="24"/>
                <w:color w:val="auto"/>
              </w:rPr>
            </w:pPr>
          </w:p>
        </w:tc>
        <w:tc>
          <w:tcPr>
            <w:tcW w:w="10020" w:type="dxa"/>
            <w:vAlign w:val="bottom"/>
            <w:gridSpan w:val="27"/>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Second Amendment to Mastech Digital, Inc.’s Stock Incentive Plan (as amended and restated), executed May 16, 2018, incorporated by</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reference to Exhibit 10.1 to Mastech Digital, Inc.’s Current Report on Form 8-K filed with the SEC on May 18, 2018</w:t>
              </w:r>
            </w:hyperlink>
          </w:p>
        </w:tc>
        <w:tc>
          <w:tcPr>
            <w:tcW w:w="1360" w:type="dxa"/>
            <w:vAlign w:val="bottom"/>
            <w:tcBorders>
              <w:top w:val="single" w:sz="8" w:color="0000EE"/>
            </w:tcBorders>
            <w:gridSpan w:val="8"/>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10.4†</w:t>
            </w:r>
          </w:p>
        </w:tc>
        <w:tc>
          <w:tcPr>
            <w:tcW w:w="540" w:type="dxa"/>
            <w:vAlign w:val="bottom"/>
          </w:tcPr>
          <w:p>
            <w:pPr>
              <w:spacing w:after="0"/>
              <w:rPr>
                <w:sz w:val="24"/>
                <w:szCs w:val="24"/>
                <w:color w:val="auto"/>
              </w:rPr>
            </w:pPr>
          </w:p>
        </w:tc>
        <w:tc>
          <w:tcPr>
            <w:tcW w:w="9660" w:type="dxa"/>
            <w:vAlign w:val="bottom"/>
            <w:tcBorders>
              <w:bottom w:val="single" w:sz="8" w:color="0000EE"/>
            </w:tcBorders>
            <w:gridSpan w:val="17"/>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Third Amendment to Mastech Digital, Inc.’s Stock Incentive Plan (as amended and restated), executed May 15, 2019, incorporated by</w:t>
              </w:r>
            </w:hyperlink>
          </w:p>
        </w:tc>
        <w:tc>
          <w:tcPr>
            <w:tcW w:w="360" w:type="dxa"/>
            <w:vAlign w:val="bottom"/>
            <w:gridSpan w:val="10"/>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reference to Exhibit 10.1 to Mastech Digital, Inc.’s Current Report on Form 8-K filed with the SEC on May 15, 2019</w:t>
              </w:r>
            </w:hyperlink>
          </w:p>
        </w:tc>
        <w:tc>
          <w:tcPr>
            <w:tcW w:w="1600" w:type="dxa"/>
            <w:vAlign w:val="bottom"/>
            <w:gridSpan w:val="15"/>
          </w:tcPr>
          <w:p>
            <w:pPr>
              <w:spacing w:after="0"/>
              <w:rPr>
                <w:sz w:val="17"/>
                <w:szCs w:val="17"/>
                <w:color w:val="auto"/>
              </w:rPr>
            </w:pPr>
          </w:p>
        </w:tc>
      </w:tr>
      <w:tr>
        <w:trPr>
          <w:trHeight w:val="385"/>
        </w:trPr>
        <w:tc>
          <w:tcPr>
            <w:tcW w:w="460" w:type="dxa"/>
            <w:vAlign w:val="bottom"/>
          </w:tcPr>
          <w:p>
            <w:pPr>
              <w:spacing w:after="0"/>
              <w:rPr>
                <w:sz w:val="24"/>
                <w:szCs w:val="24"/>
                <w:color w:val="auto"/>
              </w:rPr>
            </w:pPr>
          </w:p>
        </w:tc>
        <w:tc>
          <w:tcPr>
            <w:tcW w:w="5280" w:type="dxa"/>
            <w:vAlign w:val="bottom"/>
            <w:gridSpan w:val="8"/>
          </w:tcPr>
          <w:p>
            <w:pPr>
              <w:jc w:val="right"/>
              <w:ind w:right="140"/>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1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40" w:type="dxa"/>
            <w:vAlign w:val="bottom"/>
            <w:tcBorders>
              <w:bottom w:val="single" w:sz="8" w:color="auto"/>
            </w:tcBorders>
            <w:gridSpan w:val="22"/>
          </w:tcPr>
          <w:p>
            <w:pPr>
              <w:ind w:left="780"/>
              <w:spacing w:after="0"/>
              <w:rPr>
                <w:sz w:val="20"/>
                <w:szCs w:val="20"/>
                <w:color w:val="auto"/>
              </w:rPr>
            </w:pPr>
            <w:r>
              <w:rPr>
                <w:rFonts w:ascii="Arial" w:cs="Arial" w:eastAsia="Arial" w:hAnsi="Arial"/>
                <w:sz w:val="14"/>
                <w:szCs w:val="14"/>
                <w:b w:val="1"/>
                <w:bCs w:val="1"/>
                <w:color w:val="auto"/>
              </w:rPr>
              <w:t>(Index Description Exhibit)</w:t>
            </w:r>
          </w:p>
        </w:tc>
      </w:tr>
      <w:tr>
        <w:trPr>
          <w:trHeight w:val="270"/>
        </w:trPr>
        <w:tc>
          <w:tcPr>
            <w:tcW w:w="1000" w:type="dxa"/>
            <w:vAlign w:val="bottom"/>
            <w:gridSpan w:val="2"/>
          </w:tcPr>
          <w:p>
            <w:pPr>
              <w:spacing w:after="0"/>
              <w:rPr>
                <w:sz w:val="20"/>
                <w:szCs w:val="20"/>
                <w:color w:val="auto"/>
              </w:rPr>
            </w:pPr>
            <w:r>
              <w:rPr>
                <w:rFonts w:ascii="Arial" w:cs="Arial" w:eastAsia="Arial" w:hAnsi="Arial"/>
                <w:sz w:val="18"/>
                <w:szCs w:val="18"/>
                <w:color w:val="auto"/>
              </w:rPr>
              <w:t>10.5†</w:t>
            </w:r>
          </w:p>
        </w:tc>
        <w:tc>
          <w:tcPr>
            <w:tcW w:w="9740" w:type="dxa"/>
            <w:vAlign w:val="bottom"/>
            <w:tcBorders>
              <w:bottom w:val="single" w:sz="8" w:color="0000EE"/>
            </w:tcBorders>
            <w:gridSpan w:val="16"/>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Fourth Amendment to Mastech Digital, Inc.’s Stock Incentive Plan (as amended and restated), executed May 13, 2020, incorporated by</w:t>
              </w:r>
            </w:hyperlink>
          </w:p>
        </w:tc>
        <w:tc>
          <w:tcPr>
            <w:tcW w:w="280" w:type="dxa"/>
            <w:vAlign w:val="bottom"/>
            <w:gridSpan w:val="9"/>
          </w:tcPr>
          <w:p>
            <w:pPr>
              <w:spacing w:after="0"/>
              <w:rPr>
                <w:sz w:val="23"/>
                <w:szCs w:val="23"/>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reference to Exhibit 10.1 to Mastech Digital, Inc.’s Current Report on Form 8-K filed with the SEC on May 18, 2020</w:t>
              </w:r>
            </w:hyperlink>
          </w:p>
        </w:tc>
        <w:tc>
          <w:tcPr>
            <w:tcW w:w="1600" w:type="dxa"/>
            <w:vAlign w:val="bottom"/>
            <w:gridSpan w:val="17"/>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10020" w:type="dxa"/>
            <w:vAlign w:val="bottom"/>
            <w:gridSpan w:val="25"/>
          </w:tcPr>
          <w:p>
            <w:pPr>
              <w:spacing w:after="0"/>
              <w:rPr>
                <w:rFonts w:ascii="Arial" w:cs="Arial" w:eastAsia="Arial" w:hAnsi="Arial"/>
                <w:sz w:val="18"/>
                <w:szCs w:val="18"/>
                <w:color w:val="0000EE"/>
                <w:w w:val="95"/>
              </w:rPr>
            </w:pPr>
            <w:hyperlink r:id="rId123">
              <w:r>
                <w:rPr>
                  <w:rFonts w:ascii="Arial" w:cs="Arial" w:eastAsia="Arial" w:hAnsi="Arial"/>
                  <w:sz w:val="18"/>
                  <w:szCs w:val="18"/>
                  <w:color w:val="0000EE"/>
                  <w:w w:val="95"/>
                </w:rPr>
                <w:t>Credit Agreement, dated July 13, 2017, by and among Mastech Digital, Inc., certain subsidiaries of Mastech Digital, Inc., PNC Bank,</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National Association, as administrative agent, swing loan lender and issuing lender, PNC Capital Markets LLC, as sole lead arranger and</w:t>
              </w:r>
            </w:hyperlink>
          </w:p>
        </w:tc>
        <w:tc>
          <w:tcPr>
            <w:tcW w:w="14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sole bookrunner, and certain financial institutions party thereto as lenders, incorporated by reference to Exhibit 10.1 to Mastech Digital,</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Inc.’s Current Report on Form 8-K, filed with the SEC on July 19, 2017</w:t>
              </w:r>
            </w:hyperlink>
          </w:p>
        </w:tc>
        <w:tc>
          <w:tcPr>
            <w:tcW w:w="4580" w:type="dxa"/>
            <w:vAlign w:val="bottom"/>
            <w:tcBorders>
              <w:top w:val="single" w:sz="8" w:color="0000EE"/>
            </w:tcBorders>
            <w:gridSpan w:val="13"/>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9860" w:type="dxa"/>
            <w:vAlign w:val="bottom"/>
            <w:tcBorders>
              <w:bottom w:val="single" w:sz="8" w:color="0000EE"/>
            </w:tcBorders>
            <w:gridSpan w:val="20"/>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First Amendment to Credit Agreement, dated November 2017, by and among Mastech Digital, Inc., PNC Bank, National Association, as</w:t>
              </w:r>
            </w:hyperlink>
          </w:p>
        </w:tc>
        <w:tc>
          <w:tcPr>
            <w:tcW w:w="160" w:type="dxa"/>
            <w:vAlign w:val="bottom"/>
            <w:gridSpan w:val="5"/>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administrative agent and a lender, and certain financial institutions party thereto as lenders, incorporated by reference to Exhibit 10.3 to</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Mastech Digital, Inc.’s Quarterly Report on Form 10-Q, filed with the SEC on May 11, 2018</w:t>
              </w:r>
            </w:hyperlink>
          </w:p>
        </w:tc>
        <w:tc>
          <w:tcPr>
            <w:tcW w:w="280" w:type="dxa"/>
            <w:vAlign w:val="bottom"/>
            <w:gridSpan w:val="9"/>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10020" w:type="dxa"/>
            <w:vAlign w:val="bottom"/>
            <w:gridSpan w:val="25"/>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Second Amendment to Credit Agreement, dated April 20, 2018, by and among Mastech Digital, Inc., PNC Bank, National Association, as</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administrative agent and a lender, and certain financial institutions party thereto as lenders, incorporated by reference to Exhibit 10.1 to</w:t>
              </w:r>
            </w:hyperlink>
          </w:p>
        </w:tc>
        <w:tc>
          <w:tcPr>
            <w:tcW w:w="8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Mastech Digital, Inc.’s Current Report on Form 8-K, filed with the SEC on April 25, 2018</w:t>
              </w:r>
            </w:hyperlink>
          </w:p>
        </w:tc>
        <w:tc>
          <w:tcPr>
            <w:tcW w:w="3240" w:type="dxa"/>
            <w:vAlign w:val="bottom"/>
            <w:tcBorders>
              <w:top w:val="single" w:sz="8" w:color="0000EE"/>
            </w:tcBorders>
            <w:gridSpan w:val="11"/>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9380" w:type="dxa"/>
            <w:vAlign w:val="bottom"/>
            <w:tcBorders>
              <w:bottom w:val="single" w:sz="8" w:color="0000EE"/>
            </w:tcBorders>
            <w:gridSpan w:val="13"/>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Third Amendment to Credit Agreement and Joinder Agreement, dated as of October 1, 2020, by and among Mastech Digital, Inc.,</w:t>
              </w:r>
            </w:hyperlink>
          </w:p>
        </w:tc>
        <w:tc>
          <w:tcPr>
            <w:tcW w:w="640" w:type="dxa"/>
            <w:vAlign w:val="bottom"/>
            <w:gridSpan w:val="1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Mastech Digital Alliances, Inc., Mastech Digital Resourcing, Inc., Mastech Digital Data, Inc., Mastech InfoTrellis, Inc., Mastech</w:t>
              </w:r>
            </w:hyperlink>
          </w:p>
        </w:tc>
        <w:tc>
          <w:tcPr>
            <w:tcW w:w="740" w:type="dxa"/>
            <w:vAlign w:val="bottom"/>
            <w:gridSpan w:val="1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InfoTrellis Digital, Ltd., Mastech Digital Services, Inc., Mastech Digital Solutions, Inc., Mastech Digital Consulting, Inc., Mastech Digital</w:t>
              </w:r>
            </w:hyperlink>
          </w:p>
        </w:tc>
        <w:tc>
          <w:tcPr>
            <w:tcW w:w="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InfoTech, Inc., and AmberLeaf Partners, Inc., PNC Bank, National Association, and certain other financial institutions party thereto as</w:t>
              </w:r>
            </w:hyperlink>
          </w:p>
        </w:tc>
        <w:tc>
          <w:tcPr>
            <w:tcW w:w="340" w:type="dxa"/>
            <w:vAlign w:val="bottom"/>
            <w:gridSpan w:val="10"/>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lenders, and PNC Bank, National Association, in its capacity as administrative agent for the lenders thereto, incorporated by reference to</w:t>
              </w:r>
            </w:hyperlink>
          </w:p>
        </w:tc>
        <w:tc>
          <w:tcPr>
            <w:tcW w:w="160" w:type="dxa"/>
            <w:vAlign w:val="bottom"/>
            <w:gridSpan w:val="5"/>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w w:val="99"/>
              </w:rPr>
            </w:pPr>
            <w:hyperlink r:id="rId126">
              <w:r>
                <w:rPr>
                  <w:rFonts w:ascii="Arial" w:cs="Arial" w:eastAsia="Arial" w:hAnsi="Arial"/>
                  <w:sz w:val="18"/>
                  <w:szCs w:val="18"/>
                  <w:color w:val="0000EE"/>
                  <w:w w:val="99"/>
                </w:rPr>
                <w:t>Exhibit 10.1 to Mastech Digital, Inc.’s Current Report on Amendment No. 1 to Form 8-K, filed with the SEC on October 7, 2020</w:t>
              </w:r>
            </w:hyperlink>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540" w:type="dxa"/>
            <w:vAlign w:val="bottom"/>
          </w:tcPr>
          <w:p>
            <w:pPr>
              <w:spacing w:after="0"/>
              <w:rPr>
                <w:sz w:val="24"/>
                <w:szCs w:val="24"/>
                <w:color w:val="auto"/>
              </w:rPr>
            </w:pPr>
          </w:p>
        </w:tc>
        <w:tc>
          <w:tcPr>
            <w:tcW w:w="91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Fourth Amendment to Credit Agreement, dated December 29, 2021, by and among Mastech Digital, Inc., PNC Bank, National</w:t>
              </w:r>
            </w:hyperlink>
          </w:p>
        </w:tc>
        <w:tc>
          <w:tcPr>
            <w:tcW w:w="160" w:type="dxa"/>
            <w:vAlign w:val="bottom"/>
            <w:tcBorders>
              <w:top w:val="single" w:sz="8" w:color="0000EE"/>
            </w:tcBorders>
            <w:gridSpan w:val="2"/>
          </w:tcPr>
          <w:p>
            <w:pPr>
              <w:spacing w:after="0"/>
              <w:rPr>
                <w:sz w:val="24"/>
                <w:szCs w:val="24"/>
                <w:color w:val="auto"/>
              </w:rPr>
            </w:pPr>
          </w:p>
        </w:tc>
        <w:tc>
          <w:tcPr>
            <w:tcW w:w="740" w:type="dxa"/>
            <w:vAlign w:val="bottom"/>
            <w:gridSpan w:val="1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Association, as administrative agent and a lender, and certain financial institutions party thereto as lenders</w:t>
              </w:r>
            </w:hyperlink>
          </w:p>
        </w:tc>
        <w:tc>
          <w:tcPr>
            <w:tcW w:w="2380" w:type="dxa"/>
            <w:vAlign w:val="bottom"/>
            <w:gridSpan w:val="18"/>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540" w:type="dxa"/>
            <w:vAlign w:val="bottom"/>
          </w:tcPr>
          <w:p>
            <w:pPr>
              <w:spacing w:after="0"/>
              <w:rPr>
                <w:sz w:val="24"/>
                <w:szCs w:val="24"/>
                <w:color w:val="auto"/>
              </w:rPr>
            </w:pPr>
          </w:p>
        </w:tc>
        <w:tc>
          <w:tcPr>
            <w:tcW w:w="9820" w:type="dxa"/>
            <w:vAlign w:val="bottom"/>
            <w:tcBorders>
              <w:bottom w:val="single" w:sz="8" w:color="0000EE"/>
            </w:tcBorders>
            <w:gridSpan w:val="18"/>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Pledge Agreement, dated July 13, 2017, made by Mastech Digital, Inc. and certain subsidiaries of Mastech Digital, Inc., incorporated by</w:t>
              </w:r>
            </w:hyperlink>
          </w:p>
        </w:tc>
        <w:tc>
          <w:tcPr>
            <w:tcW w:w="200" w:type="dxa"/>
            <w:vAlign w:val="bottom"/>
            <w:gridSpan w:val="7"/>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reference to Exhibit 10.2 to Mastech Digital, Inc.’s Current Report on Form 8-K, filed with the SEC on July 19, 2017</w:t>
              </w:r>
            </w:hyperlink>
          </w:p>
        </w:tc>
        <w:tc>
          <w:tcPr>
            <w:tcW w:w="1580" w:type="dxa"/>
            <w:vAlign w:val="bottom"/>
            <w:gridSpan w:val="16"/>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540" w:type="dxa"/>
            <w:vAlign w:val="bottom"/>
          </w:tcPr>
          <w:p>
            <w:pPr>
              <w:spacing w:after="0"/>
              <w:rPr>
                <w:sz w:val="24"/>
                <w:szCs w:val="24"/>
                <w:color w:val="auto"/>
              </w:rPr>
            </w:pPr>
          </w:p>
        </w:tc>
        <w:tc>
          <w:tcPr>
            <w:tcW w:w="10020" w:type="dxa"/>
            <w:vAlign w:val="bottom"/>
            <w:gridSpan w:val="25"/>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Securities Purchase Agreement, dated July 7, 2017, by and between Mastech Digital, Inc. and Ashok Trivedi, as trustee of the Ashok K.</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80" w:type="dxa"/>
            <w:vAlign w:val="bottom"/>
            <w:gridSpan w:val="8"/>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Trivedi Revocable Trust, incorporated by reference to Exhibit 10.1 to Mastech Digital, Inc.’s Current Report on Form 8-K, filed with the</w:t>
              </w:r>
            </w:hyperlink>
          </w:p>
        </w:tc>
        <w:tc>
          <w:tcPr>
            <w:tcW w:w="18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SEC on July 13, 2017</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gridSpan w:val="8"/>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10.13</w:t>
            </w:r>
          </w:p>
        </w:tc>
        <w:tc>
          <w:tcPr>
            <w:tcW w:w="540" w:type="dxa"/>
            <w:vAlign w:val="bottom"/>
          </w:tcPr>
          <w:p>
            <w:pPr>
              <w:spacing w:after="0"/>
              <w:rPr>
                <w:sz w:val="24"/>
                <w:szCs w:val="24"/>
                <w:color w:val="auto"/>
              </w:rPr>
            </w:pPr>
          </w:p>
        </w:tc>
        <w:tc>
          <w:tcPr>
            <w:tcW w:w="9260" w:type="dxa"/>
            <w:vAlign w:val="bottom"/>
            <w:tcBorders>
              <w:bottom w:val="single" w:sz="8" w:color="0000EE"/>
            </w:tcBorders>
            <w:gridSpan w:val="11"/>
          </w:tcPr>
          <w:p>
            <w:pPr>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Securities Purchase Agreement, dated July 7, 2017, by and between Mastech Digital, Inc. and Sunil Wadhwani, as trustee of The</w:t>
              </w:r>
            </w:hyperlink>
          </w:p>
        </w:tc>
        <w:tc>
          <w:tcPr>
            <w:tcW w:w="760" w:type="dxa"/>
            <w:vAlign w:val="bottom"/>
            <w:gridSpan w:val="14"/>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Revocable Declaration of Trust of Sunil Wadhwani, incorporated by reference to Exhibit 10.2 to Mastech Digital, Inc.’s Current Report on</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Form 8-K, filed with the SEC on July 13, 2017</w:t>
              </w:r>
            </w:hyperlink>
          </w:p>
        </w:tc>
        <w:tc>
          <w:tcPr>
            <w:tcW w:w="6580" w:type="dxa"/>
            <w:vAlign w:val="bottom"/>
            <w:tcBorders>
              <w:top w:val="single" w:sz="8" w:color="0000EE"/>
            </w:tcBorders>
            <w:gridSpan w:val="20"/>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10.14†</w:t>
            </w:r>
          </w:p>
        </w:tc>
        <w:tc>
          <w:tcPr>
            <w:tcW w:w="10020" w:type="dxa"/>
            <w:vAlign w:val="bottom"/>
            <w:gridSpan w:val="25"/>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Fourth Amended and Restated Executive Employment Agreement, dated as of March 20, 2019, between Mastech Digital Technologies,</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6700" w:type="dxa"/>
            <w:vAlign w:val="bottom"/>
            <w:gridSpan w:val="15"/>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Inc., Mastech Digital, Inc. and Vivek Gupta, incorporated by reference to Exhibit 10.1 to Mastech Digital, Inc.’s Current Report on Form</w:t>
              </w:r>
            </w:hyperlink>
          </w:p>
        </w:tc>
        <w:tc>
          <w:tcPr>
            <w:tcW w:w="160" w:type="dxa"/>
            <w:vAlign w:val="bottom"/>
            <w:gridSpan w:val="5"/>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8-K filed with the SEC on March 21, 2019</w:t>
              </w:r>
            </w:hyperlink>
          </w:p>
        </w:tc>
      </w:tr>
      <w:tr>
        <w:trPr>
          <w:trHeight w:val="385"/>
        </w:trPr>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60" w:type="dxa"/>
            <w:vAlign w:val="bottom"/>
            <w:tcBorders>
              <w:top w:val="single" w:sz="8" w:color="0000EE"/>
            </w:tcBorders>
            <w:gridSpan w:val="2"/>
          </w:tcPr>
          <w:p>
            <w:pPr>
              <w:spacing w:after="0"/>
              <w:rPr>
                <w:sz w:val="24"/>
                <w:szCs w:val="24"/>
                <w:color w:val="auto"/>
              </w:rPr>
            </w:pPr>
          </w:p>
        </w:tc>
        <w:tc>
          <w:tcPr>
            <w:tcW w:w="2120" w:type="dxa"/>
            <w:vAlign w:val="bottom"/>
            <w:gridSpan w:val="2"/>
          </w:tcPr>
          <w:p>
            <w:pPr>
              <w:jc w:val="right"/>
              <w:ind w:right="508"/>
              <w:spacing w:after="0"/>
              <w:rPr>
                <w:sz w:val="20"/>
                <w:szCs w:val="20"/>
                <w:color w:val="auto"/>
              </w:rPr>
            </w:pPr>
            <w:r>
              <w:rPr>
                <w:rFonts w:ascii="Arial" w:cs="Arial" w:eastAsia="Arial" w:hAnsi="Arial"/>
                <w:sz w:val="18"/>
                <w:szCs w:val="18"/>
                <w:color w:val="auto"/>
              </w:rPr>
              <w:t>82</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w:t>
            </w: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340" w:type="dxa"/>
            <w:vAlign w:val="bottom"/>
            <w:tcBorders>
              <w:bottom w:val="single" w:sz="8" w:color="auto"/>
            </w:tcBorders>
            <w:gridSpan w:val="24"/>
          </w:tcPr>
          <w:p>
            <w:pPr>
              <w:ind w:left="480"/>
              <w:spacing w:after="0"/>
              <w:rPr>
                <w:sz w:val="20"/>
                <w:szCs w:val="20"/>
                <w:color w:val="auto"/>
              </w:rPr>
            </w:pPr>
            <w:r>
              <w:rPr>
                <w:rFonts w:ascii="Arial" w:cs="Arial" w:eastAsia="Arial" w:hAnsi="Arial"/>
                <w:sz w:val="14"/>
                <w:szCs w:val="14"/>
                <w:b w:val="1"/>
                <w:bCs w:val="1"/>
                <w:color w:val="auto"/>
              </w:rPr>
              <w:t>(Index Description Exhibit)</w:t>
            </w:r>
          </w:p>
        </w:tc>
      </w:tr>
      <w:tr>
        <w:trPr>
          <w:trHeight w:val="270"/>
        </w:trPr>
        <w:tc>
          <w:tcPr>
            <w:tcW w:w="1000" w:type="dxa"/>
            <w:vAlign w:val="bottom"/>
            <w:gridSpan w:val="2"/>
          </w:tcPr>
          <w:p>
            <w:pPr>
              <w:spacing w:after="0"/>
              <w:rPr>
                <w:sz w:val="20"/>
                <w:szCs w:val="20"/>
                <w:color w:val="auto"/>
              </w:rPr>
            </w:pPr>
            <w:r>
              <w:rPr>
                <w:rFonts w:ascii="Arial" w:cs="Arial" w:eastAsia="Arial" w:hAnsi="Arial"/>
                <w:sz w:val="18"/>
                <w:szCs w:val="18"/>
                <w:color w:val="auto"/>
              </w:rPr>
              <w:t>10.15†</w:t>
            </w:r>
          </w:p>
        </w:tc>
        <w:tc>
          <w:tcPr>
            <w:tcW w:w="9720" w:type="dxa"/>
            <w:vAlign w:val="bottom"/>
            <w:tcBorders>
              <w:bottom w:val="single" w:sz="8" w:color="0000EE"/>
            </w:tcBorders>
            <w:gridSpan w:val="21"/>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Schedule A-6, dated March 9, 2022, to Fourth Amended and Restated Executive Employment Agreement, dated as of March 20, 2019,</w:t>
              </w:r>
            </w:hyperlink>
          </w:p>
        </w:tc>
        <w:tc>
          <w:tcPr>
            <w:tcW w:w="300" w:type="dxa"/>
            <w:vAlign w:val="bottom"/>
            <w:gridSpan w:val="8"/>
          </w:tcPr>
          <w:p>
            <w:pPr>
              <w:spacing w:after="0"/>
              <w:rPr>
                <w:sz w:val="23"/>
                <w:szCs w:val="23"/>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between Mastech Digital Technologies, Inc., Mastech Digital, Inc. and Vivek Gupta, incorporated by reference to Exhibit 10.1 to Mastech</w:t>
              </w:r>
            </w:hyperlink>
          </w:p>
        </w:tc>
        <w:tc>
          <w:tcPr>
            <w:tcW w:w="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Digital, Inc.’s Current Report on Form 8-K filed with the SEC on March 11, 2022</w:t>
              </w:r>
            </w:hyperlink>
          </w:p>
        </w:tc>
        <w:tc>
          <w:tcPr>
            <w:tcW w:w="4140" w:type="dxa"/>
            <w:vAlign w:val="bottom"/>
            <w:gridSpan w:val="22"/>
          </w:tcPr>
          <w:p>
            <w:pPr>
              <w:spacing w:after="0"/>
              <w:rPr>
                <w:sz w:val="17"/>
                <w:szCs w:val="17"/>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10.16†</w:t>
            </w:r>
          </w:p>
        </w:tc>
        <w:tc>
          <w:tcPr>
            <w:tcW w:w="9700" w:type="dxa"/>
            <w:vAlign w:val="bottom"/>
            <w:tcBorders>
              <w:bottom w:val="single" w:sz="8" w:color="0000EE"/>
            </w:tcBorders>
            <w:gridSpan w:val="20"/>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Third Amended and Restated Executive Employment Agreement, dated as of March 20, 2019, between Mastech Digital Technologies,</w:t>
              </w:r>
            </w:hyperlink>
          </w:p>
        </w:tc>
        <w:tc>
          <w:tcPr>
            <w:tcW w:w="320" w:type="dxa"/>
            <w:vAlign w:val="bottom"/>
            <w:gridSpan w:val="9"/>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Inc., Mastech Digital, Inc. and John J. Cronin, Jr., incorporated by reference to Exhibit 10.2 to Mastech Digital, Inc.’s Current Report on</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Form 8-K filed with the SEC on March 21, 2019</w:t>
              </w:r>
            </w:hyperlink>
          </w:p>
        </w:tc>
        <w:tc>
          <w:tcPr>
            <w:tcW w:w="220" w:type="dxa"/>
            <w:vAlign w:val="bottom"/>
            <w:gridSpan w:val="6"/>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10.17†</w:t>
            </w:r>
          </w:p>
        </w:tc>
        <w:tc>
          <w:tcPr>
            <w:tcW w:w="9720" w:type="dxa"/>
            <w:vAlign w:val="bottom"/>
            <w:tcBorders>
              <w:bottom w:val="single" w:sz="8" w:color="0000EE"/>
            </w:tcBorders>
            <w:gridSpan w:val="21"/>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Schedule A-11, dated March 9, 2022, to Third Amended and Restated Executive Employment Agreement, dated as of March 20, 2019,</w:t>
              </w:r>
            </w:hyperlink>
          </w:p>
        </w:tc>
        <w:tc>
          <w:tcPr>
            <w:tcW w:w="300" w:type="dxa"/>
            <w:vAlign w:val="bottom"/>
            <w:gridSpan w:val="8"/>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between Mastech Digital Technologies, Inc., Mastech Digital, Inc. and John J. Cronin, Jr., incorporated by reference to Exhibit 10.2 to</w:t>
              </w:r>
            </w:hyperlink>
          </w:p>
        </w:tc>
        <w:tc>
          <w:tcPr>
            <w:tcW w:w="340" w:type="dxa"/>
            <w:vAlign w:val="bottom"/>
            <w:gridSpan w:val="10"/>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Mastech Digital, Inc.’s Current Report on Form 8-K filed with the SEC on March 11, 2022</w:t>
              </w:r>
            </w:hyperlink>
          </w:p>
        </w:tc>
        <w:tc>
          <w:tcPr>
            <w:tcW w:w="3480" w:type="dxa"/>
            <w:vAlign w:val="bottom"/>
            <w:gridSpan w:val="19"/>
          </w:tcPr>
          <w:p>
            <w:pPr>
              <w:spacing w:after="0"/>
              <w:rPr>
                <w:sz w:val="17"/>
                <w:szCs w:val="17"/>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10.18†</w:t>
            </w:r>
          </w:p>
        </w:tc>
        <w:tc>
          <w:tcPr>
            <w:tcW w:w="9740" w:type="dxa"/>
            <w:vAlign w:val="bottom"/>
            <w:tcBorders>
              <w:bottom w:val="single" w:sz="8" w:color="0000EE"/>
            </w:tcBorders>
            <w:gridSpan w:val="22"/>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Executive Employment Agreement effective as of January 7, 2019, between Mastech InfoTrellis, Inc. and Paul Burton, incorporated by</w:t>
              </w:r>
            </w:hyperlink>
          </w:p>
        </w:tc>
        <w:tc>
          <w:tcPr>
            <w:tcW w:w="280" w:type="dxa"/>
            <w:vAlign w:val="bottom"/>
            <w:gridSpan w:val="7"/>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reference to Exhibit 10.2 to Mastech Digital, Inc.’s Current Report on Form 8-K filed with the SEC on March 15, 2021</w:t>
              </w:r>
            </w:hyperlink>
          </w:p>
        </w:tc>
        <w:tc>
          <w:tcPr>
            <w:tcW w:w="1460" w:type="dxa"/>
            <w:vAlign w:val="bottom"/>
            <w:gridSpan w:val="16"/>
          </w:tcPr>
          <w:p>
            <w:pPr>
              <w:spacing w:after="0"/>
              <w:rPr>
                <w:sz w:val="17"/>
                <w:szCs w:val="17"/>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10.19†</w:t>
            </w:r>
          </w:p>
        </w:tc>
        <w:tc>
          <w:tcPr>
            <w:tcW w:w="9960" w:type="dxa"/>
            <w:vAlign w:val="bottom"/>
            <w:tcBorders>
              <w:bottom w:val="single" w:sz="8" w:color="0000EE"/>
            </w:tcBorders>
            <w:gridSpan w:val="27"/>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Schedule A-3, dated March 10, 2021, to Executive Employment Agreement effective as of January 7, 2019, between Mastech InfoTrellis,</w:t>
              </w:r>
            </w:hyperlink>
          </w:p>
        </w:tc>
        <w:tc>
          <w:tcPr>
            <w:tcW w:w="6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Inc. and Paul Burton, incorporated by reference to Exhibit 10.2 to Mastech Digital, Inc.’s Current Report on Form 8-K filed with the SEC</w:t>
              </w:r>
            </w:hyperlink>
          </w:p>
        </w:tc>
        <w:tc>
          <w:tcPr>
            <w:tcW w:w="8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on March 15, 2021</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10.20</w:t>
            </w:r>
          </w:p>
        </w:tc>
        <w:tc>
          <w:tcPr>
            <w:tcW w:w="540" w:type="dxa"/>
            <w:vAlign w:val="bottom"/>
          </w:tcPr>
          <w:p>
            <w:pPr>
              <w:spacing w:after="0"/>
              <w:rPr>
                <w:sz w:val="24"/>
                <w:szCs w:val="24"/>
                <w:color w:val="auto"/>
              </w:rPr>
            </w:pPr>
          </w:p>
        </w:tc>
        <w:tc>
          <w:tcPr>
            <w:tcW w:w="9660" w:type="dxa"/>
            <w:vAlign w:val="bottom"/>
            <w:tcBorders>
              <w:bottom w:val="single" w:sz="8" w:color="0000EE"/>
            </w:tcBorders>
            <w:gridSpan w:val="18"/>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Lease Agreement, dated April 2, 2014, between PIBP 210 LLP and Mastech Digital, Inc., incorporated by reference to Exhibit 10.1 to</w:t>
              </w:r>
            </w:hyperlink>
          </w:p>
        </w:tc>
        <w:tc>
          <w:tcPr>
            <w:tcW w:w="360" w:type="dxa"/>
            <w:vAlign w:val="bottom"/>
            <w:gridSpan w:val="11"/>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Mastech Digital, Inc.’s Current Report on Form 8-K filed with the SEC on April 7, 2014</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10.21</w:t>
            </w:r>
          </w:p>
        </w:tc>
        <w:tc>
          <w:tcPr>
            <w:tcW w:w="540" w:type="dxa"/>
            <w:vAlign w:val="bottom"/>
          </w:tcPr>
          <w:p>
            <w:pPr>
              <w:spacing w:after="0"/>
              <w:rPr>
                <w:sz w:val="24"/>
                <w:szCs w:val="24"/>
                <w:color w:val="auto"/>
              </w:rPr>
            </w:pPr>
          </w:p>
        </w:tc>
        <w:tc>
          <w:tcPr>
            <w:tcW w:w="9680" w:type="dxa"/>
            <w:vAlign w:val="bottom"/>
            <w:tcBorders>
              <w:bottom w:val="single" w:sz="8" w:color="0000EE"/>
            </w:tcBorders>
            <w:gridSpan w:val="19"/>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Lease Deed, made and executed on April 1, 2021, by and between Olympia Tech Park (Chennai) Private Limited and InfoTrellis India</w:t>
              </w:r>
            </w:hyperlink>
          </w:p>
        </w:tc>
        <w:tc>
          <w:tcPr>
            <w:tcW w:w="340" w:type="dxa"/>
            <w:vAlign w:val="bottom"/>
            <w:gridSpan w:val="10"/>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Private Limited, , incorporated by reference to Exhibit 10.4 to Mastech Digital, Inc.’s Quarterly Report on Form 10-Q, filed with the SEC</w:t>
              </w:r>
            </w:hyperlink>
          </w:p>
        </w:tc>
        <w:tc>
          <w:tcPr>
            <w:tcW w:w="100" w:type="dxa"/>
            <w:vAlign w:val="bottom"/>
            <w:gridSpan w:val="4"/>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on May 7, 2021</w:t>
              </w:r>
            </w:hyperlink>
          </w:p>
        </w:tc>
        <w:tc>
          <w:tcPr>
            <w:tcW w:w="8880" w:type="dxa"/>
            <w:vAlign w:val="bottom"/>
            <w:gridSpan w:val="28"/>
          </w:tcPr>
          <w:p>
            <w:pPr>
              <w:spacing w:after="0"/>
              <w:rPr>
                <w:sz w:val="17"/>
                <w:szCs w:val="17"/>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10.22†</w:t>
            </w:r>
          </w:p>
        </w:tc>
        <w:tc>
          <w:tcPr>
            <w:tcW w:w="9620" w:type="dxa"/>
            <w:vAlign w:val="bottom"/>
            <w:tcBorders>
              <w:bottom w:val="single" w:sz="8" w:color="0000EE"/>
            </w:tcBorders>
            <w:gridSpan w:val="17"/>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Form of Restricted Stock Agreement under the Mastech Digital, Inc. Stock Incentive Plan (as amended and restated), incorporated by</w:t>
              </w:r>
            </w:hyperlink>
          </w:p>
        </w:tc>
        <w:tc>
          <w:tcPr>
            <w:tcW w:w="400" w:type="dxa"/>
            <w:vAlign w:val="bottom"/>
            <w:gridSpan w:val="1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reference to Exhibit 10.9 to Mastech Digital, Inc.’s Annual Report on Form 10-K filed with the SEC on March 24, 2017</w:t>
              </w:r>
            </w:hyperlink>
          </w:p>
        </w:tc>
      </w:tr>
      <w:tr>
        <w:trPr>
          <w:trHeight w:val="20"/>
        </w:trPr>
        <w:tc>
          <w:tcPr>
            <w:tcW w:w="1000" w:type="dxa"/>
            <w:vAlign w:val="bottom"/>
            <w:gridSpan w:val="2"/>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10.23†</w:t>
            </w:r>
          </w:p>
        </w:tc>
        <w:tc>
          <w:tcPr>
            <w:tcW w:w="9300" w:type="dxa"/>
            <w:vAlign w:val="bottom"/>
            <w:tcBorders>
              <w:bottom w:val="single" w:sz="8" w:color="0000EE"/>
            </w:tcBorders>
            <w:gridSpan w:val="15"/>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Form of Non-Qualified Stock Option Agreement under the Mastech Digital, Inc. Stock Incentive Plan (as amended and restated),</w:t>
              </w:r>
            </w:hyperlink>
          </w:p>
        </w:tc>
        <w:tc>
          <w:tcPr>
            <w:tcW w:w="720" w:type="dxa"/>
            <w:vAlign w:val="bottom"/>
            <w:gridSpan w:val="14"/>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incorporated by reference to Exhibit 10.10 to Mastech Digital, Inc.’s Annual Report on Form 10-K filed with the SEC on March 24, 2017</w:t>
              </w:r>
            </w:hyperlink>
          </w:p>
        </w:tc>
        <w:tc>
          <w:tcPr>
            <w:tcW w:w="120" w:type="dxa"/>
            <w:vAlign w:val="bottom"/>
            <w:gridSpan w:val="5"/>
          </w:tcPr>
          <w:p>
            <w:pPr>
              <w:spacing w:after="0"/>
              <w:rPr>
                <w:sz w:val="17"/>
                <w:szCs w:val="17"/>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10.24†</w:t>
            </w:r>
          </w:p>
        </w:tc>
        <w:tc>
          <w:tcPr>
            <w:tcW w:w="9460" w:type="dxa"/>
            <w:vAlign w:val="bottom"/>
            <w:tcBorders>
              <w:bottom w:val="single" w:sz="8" w:color="0000EE"/>
            </w:tcBorders>
            <w:gridSpan w:val="16"/>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Mastech Digital, Inc. 2019 Employee Stock Purchase Plan, executed on May 15, 2019, incorporated by reference to Exhibit 10.2 to</w:t>
              </w:r>
            </w:hyperlink>
          </w:p>
        </w:tc>
        <w:tc>
          <w:tcPr>
            <w:tcW w:w="560" w:type="dxa"/>
            <w:vAlign w:val="bottom"/>
            <w:gridSpan w:val="1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29"/>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Mastech Digital, Inc.’s Current Report on Form 8-K filed with the SEC on May 15, 2019</w:t>
              </w:r>
            </w:hyperlink>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10.25†</w:t>
            </w:r>
          </w:p>
        </w:tc>
        <w:tc>
          <w:tcPr>
            <w:tcW w:w="6400" w:type="dxa"/>
            <w:vAlign w:val="bottom"/>
            <w:tcBorders>
              <w:top w:val="single" w:sz="8" w:color="0000EE"/>
            </w:tcBorders>
            <w:gridSpan w:val="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Summary of Director Compensation Arrangements</w:t>
              </w:r>
            </w:hyperlink>
          </w:p>
        </w:tc>
        <w:tc>
          <w:tcPr>
            <w:tcW w:w="3620" w:type="dxa"/>
            <w:vAlign w:val="bottom"/>
            <w:gridSpan w:val="20"/>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14.1</w:t>
            </w:r>
          </w:p>
        </w:tc>
        <w:tc>
          <w:tcPr>
            <w:tcW w:w="540" w:type="dxa"/>
            <w:vAlign w:val="bottom"/>
          </w:tcPr>
          <w:p>
            <w:pPr>
              <w:spacing w:after="0"/>
              <w:rPr>
                <w:sz w:val="24"/>
                <w:szCs w:val="24"/>
                <w:color w:val="auto"/>
              </w:rPr>
            </w:pPr>
          </w:p>
        </w:tc>
        <w:tc>
          <w:tcPr>
            <w:tcW w:w="9660" w:type="dxa"/>
            <w:vAlign w:val="bottom"/>
            <w:tcBorders>
              <w:bottom w:val="single" w:sz="8" w:color="0000EE"/>
            </w:tcBorders>
            <w:gridSpan w:val="18"/>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Mastech Digital, Inc.’s Code of Business Conduct and Ethics, as adopted on September 15, 2016, incorporated by reference to Exhibit</w:t>
              </w:r>
            </w:hyperlink>
          </w:p>
        </w:tc>
        <w:tc>
          <w:tcPr>
            <w:tcW w:w="360" w:type="dxa"/>
            <w:vAlign w:val="bottom"/>
            <w:gridSpan w:val="11"/>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14.</w:t>
              </w:r>
              <w:r>
                <w:rPr>
                  <w:rFonts w:ascii="Arial" w:cs="Arial" w:eastAsia="Arial" w:hAnsi="Arial"/>
                  <w:sz w:val="18"/>
                  <w:szCs w:val="18"/>
                  <w:u w:val="single" w:color="auto"/>
                  <w:color w:val="0000EE"/>
                  <w:w w:val="92"/>
                </w:rPr>
                <w:t>1</w:t>
              </w:r>
              <w:r>
                <w:rPr>
                  <w:rFonts w:ascii="Arial" w:cs="Arial" w:eastAsia="Arial" w:hAnsi="Arial"/>
                  <w:sz w:val="18"/>
                  <w:szCs w:val="18"/>
                  <w:color w:val="0000EE"/>
                  <w:w w:val="92"/>
                </w:rPr>
                <w:t xml:space="preserve"> to Mastech Digital, Inc.’s Annual Report on Form 10-K filed with the SEC on March 24, 2017</w:t>
              </w:r>
            </w:hyperlink>
          </w:p>
        </w:tc>
        <w:tc>
          <w:tcPr>
            <w:tcW w:w="2860" w:type="dxa"/>
            <w:vAlign w:val="bottom"/>
            <w:gridSpan w:val="18"/>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31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List of Subsidiaries of Mastech Digital, Inc.</w:t>
              </w:r>
            </w:hyperlink>
          </w:p>
        </w:tc>
        <w:tc>
          <w:tcPr>
            <w:tcW w:w="6860" w:type="dxa"/>
            <w:vAlign w:val="bottom"/>
            <w:gridSpan w:val="26"/>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1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Consent of UHY LLP, Independent Registered Public Accounting Firm</w:t>
              </w:r>
            </w:hyperlink>
          </w:p>
        </w:tc>
        <w:tc>
          <w:tcPr>
            <w:tcW w:w="4880" w:type="dxa"/>
            <w:vAlign w:val="bottom"/>
            <w:gridSpan w:val="23"/>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10020" w:type="dxa"/>
            <w:vAlign w:val="bottom"/>
            <w:gridSpan w:val="2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Certification pursuant to Section 302 of the Sarbanes-Oxley Act of 2002 by Chief Executive Officer</w:t>
              </w:r>
            </w:hyperlink>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7200" w:type="dxa"/>
            <w:vAlign w:val="bottom"/>
            <w:tcBorders>
              <w:top w:val="single" w:sz="8" w:color="0000EE"/>
            </w:tcBorders>
            <w:gridSpan w:val="12"/>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Certification pursuant to Section 302 of the Sarbanes-Oxley Act of 2002 by Chief Financial Officer</w:t>
              </w:r>
            </w:hyperlink>
          </w:p>
        </w:tc>
        <w:tc>
          <w:tcPr>
            <w:tcW w:w="2820" w:type="dxa"/>
            <w:vAlign w:val="bottom"/>
            <w:gridSpan w:val="17"/>
          </w:tcPr>
          <w:p>
            <w:pPr>
              <w:spacing w:after="0"/>
              <w:rPr>
                <w:sz w:val="24"/>
                <w:szCs w:val="24"/>
                <w:color w:val="auto"/>
              </w:rPr>
            </w:pPr>
          </w:p>
        </w:tc>
      </w:tr>
      <w:tr>
        <w:trPr>
          <w:trHeight w:val="385"/>
        </w:trPr>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tcBorders>
              <w:top w:val="single" w:sz="8" w:color="0000EE"/>
            </w:tcBorders>
            <w:gridSpan w:val="6"/>
          </w:tcPr>
          <w:p>
            <w:pPr>
              <w:ind w:left="4420"/>
              <w:spacing w:after="0"/>
              <w:rPr>
                <w:sz w:val="20"/>
                <w:szCs w:val="20"/>
                <w:color w:val="auto"/>
              </w:rPr>
            </w:pPr>
            <w:r>
              <w:rPr>
                <w:rFonts w:ascii="Arial" w:cs="Arial" w:eastAsia="Arial" w:hAnsi="Arial"/>
                <w:sz w:val="18"/>
                <w:szCs w:val="18"/>
                <w:color w:val="auto"/>
              </w:rPr>
              <w:t>83</w:t>
            </w:r>
          </w:p>
        </w:tc>
        <w:tc>
          <w:tcPr>
            <w:tcW w:w="7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20" w:type="dxa"/>
            <w:vAlign w:val="bottom"/>
            <w:gridSpan w:val="2"/>
          </w:tcPr>
          <w:p>
            <w:pPr>
              <w:ind w:left="2720"/>
              <w:spacing w:after="0"/>
              <w:rPr>
                <w:sz w:val="20"/>
                <w:szCs w:val="20"/>
                <w:color w:val="auto"/>
              </w:rPr>
            </w:pPr>
            <w:r>
              <w:rPr>
                <w:rFonts w:ascii="Arial" w:cs="Arial" w:eastAsia="Arial" w:hAnsi="Arial"/>
                <w:sz w:val="14"/>
                <w:szCs w:val="14"/>
                <w:b w:val="1"/>
                <w:bCs w:val="1"/>
                <w:color w:val="auto"/>
              </w:rPr>
              <w:t>(Index Description Exhibit)</w:t>
            </w:r>
          </w:p>
        </w:tc>
      </w:tr>
      <w:tr>
        <w:trPr>
          <w:trHeight w:val="270"/>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32.1</w:t>
            </w:r>
          </w:p>
        </w:tc>
        <w:tc>
          <w:tcPr>
            <w:tcW w:w="860" w:type="dxa"/>
            <w:vAlign w:val="bottom"/>
          </w:tcPr>
          <w:p>
            <w:pPr>
              <w:spacing w:after="0"/>
              <w:rPr>
                <w:sz w:val="23"/>
                <w:szCs w:val="23"/>
                <w:color w:val="auto"/>
              </w:rPr>
            </w:pPr>
          </w:p>
        </w:tc>
        <w:tc>
          <w:tcPr>
            <w:tcW w:w="9380" w:type="dxa"/>
            <w:vAlign w:val="bottom"/>
            <w:tcBorders>
              <w:top w:val="single" w:sz="8" w:color="auto"/>
              <w:bottom w:val="single" w:sz="8" w:color="0000EE"/>
            </w:tcBorders>
            <w:gridSpan w:val="3"/>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Certification pursuant to 18 U.S.C. Section 1350, as adopted pursuant to Section 906 of the Sarbanes-Oxley Act of 2002, by Chief</w:t>
              </w:r>
            </w:hyperlink>
          </w:p>
        </w:tc>
        <w:tc>
          <w:tcPr>
            <w:tcW w:w="320" w:type="dxa"/>
            <w:vAlign w:val="bottom"/>
            <w:tcBorders>
              <w:top w:val="single" w:sz="8" w:color="auto"/>
            </w:tcBorders>
          </w:tcPr>
          <w:p>
            <w:pPr>
              <w:spacing w:after="0"/>
              <w:rPr>
                <w:sz w:val="23"/>
                <w:szCs w:val="23"/>
                <w:color w:val="auto"/>
              </w:rPr>
            </w:pPr>
          </w:p>
        </w:tc>
      </w:tr>
      <w:tr>
        <w:trPr>
          <w:trHeight w:val="196"/>
        </w:trPr>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Executive Officer</w:t>
              </w:r>
            </w:hyperlink>
          </w:p>
        </w:tc>
        <w:tc>
          <w:tcPr>
            <w:tcW w:w="8420" w:type="dxa"/>
            <w:vAlign w:val="bottom"/>
            <w:gridSpan w:val="2"/>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860" w:type="dxa"/>
            <w:vAlign w:val="bottom"/>
          </w:tcPr>
          <w:p>
            <w:pPr>
              <w:spacing w:after="0"/>
              <w:rPr>
                <w:sz w:val="24"/>
                <w:szCs w:val="24"/>
                <w:color w:val="auto"/>
              </w:rPr>
            </w:pPr>
          </w:p>
        </w:tc>
        <w:tc>
          <w:tcPr>
            <w:tcW w:w="93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Certification pursuant to 18 U.S.C. Section 1350, as adopted pursuant to Section 906 of the Sarbanes-Oxley Act of 2002, by Chief</w:t>
              </w:r>
            </w:hyperlink>
          </w:p>
        </w:tc>
        <w:tc>
          <w:tcPr>
            <w:tcW w:w="3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700" w:type="dxa"/>
            <w:vAlign w:val="bottom"/>
            <w:gridSpan w:val="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Financial Officer</w:t>
              </w:r>
            </w:hyperlink>
          </w:p>
        </w:tc>
      </w:tr>
      <w:tr>
        <w:trPr>
          <w:trHeight w:val="20"/>
        </w:trPr>
        <w:tc>
          <w:tcPr>
            <w:tcW w:w="1320" w:type="dxa"/>
            <w:vAlign w:val="bottom"/>
            <w:gridSpan w:val="2"/>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480" w:type="dxa"/>
            <w:vAlign w:val="bottom"/>
            <w:gridSpan w:val="3"/>
          </w:tcPr>
          <w:p>
            <w:pPr>
              <w:spacing w:after="0" w:line="20" w:lineRule="exact"/>
              <w:rPr>
                <w:sz w:val="1"/>
                <w:szCs w:val="1"/>
                <w:color w:val="auto"/>
              </w:rPr>
            </w:pPr>
          </w:p>
        </w:tc>
      </w:tr>
      <w:tr>
        <w:trPr>
          <w:trHeight w:val="345"/>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Instance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Taxonomy Extension Schema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right="2300" w:hanging="4"/>
        <w:spacing w:after="0" w:line="308" w:lineRule="auto"/>
        <w:tabs>
          <w:tab w:leader="none" w:pos="552"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Designates the Company’s management contracts or compensation plans or arrangements for its executive officers. * XBRL (eXtensible Business Reporting Language) information is furnished and not filed herewith.</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86"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14th day of March, 2022.</w:t>
      </w:r>
    </w:p>
    <w:p>
      <w:pPr>
        <w:spacing w:after="0" w:line="3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MASTECH DIGITAL, INC.</w:t>
      </w:r>
    </w:p>
    <w:p>
      <w:pPr>
        <w:spacing w:after="0" w:line="225" w:lineRule="exact"/>
        <w:rPr>
          <w:sz w:val="20"/>
          <w:szCs w:val="20"/>
          <w:color w:val="auto"/>
        </w:rPr>
      </w:pPr>
    </w:p>
    <w:p>
      <w:pPr>
        <w:ind w:left="7700"/>
        <w:spacing w:after="0"/>
        <w:tabs>
          <w:tab w:leader="none" w:pos="812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IVEK</w:t>
      </w:r>
      <w:r>
        <w:rPr>
          <w:rFonts w:ascii="Arial" w:cs="Arial" w:eastAsia="Arial" w:hAnsi="Arial"/>
          <w:sz w:val="18"/>
          <w:szCs w:val="18"/>
          <w:color w:val="auto"/>
        </w:rPr>
        <w:t xml:space="preserve"> G</w:t>
      </w:r>
      <w:r>
        <w:rPr>
          <w:rFonts w:ascii="Arial" w:cs="Arial" w:eastAsia="Arial" w:hAnsi="Arial"/>
          <w:sz w:val="14"/>
          <w:szCs w:val="14"/>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4"/>
          <w:szCs w:val="14"/>
          <w:b w:val="1"/>
          <w:bCs w:val="1"/>
          <w:color w:val="auto"/>
        </w:rPr>
        <w:t>Vivek Gupta</w:t>
      </w:r>
    </w:p>
    <w:p>
      <w:pPr>
        <w:jc w:val="center"/>
        <w:ind w:left="584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pacing w:after="0" w:line="2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this 14th day of March, 2022.</w:t>
      </w:r>
    </w:p>
    <w:p>
      <w:pPr>
        <w:spacing w:after="0" w:line="197" w:lineRule="exact"/>
        <w:rPr>
          <w:sz w:val="20"/>
          <w:szCs w:val="20"/>
          <w:color w:val="auto"/>
        </w:rPr>
      </w:pPr>
    </w:p>
    <w:p>
      <w:pPr>
        <w:ind w:left="7560"/>
        <w:spacing w:after="0"/>
        <w:tabs>
          <w:tab w:leader="none" w:pos="788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IVEK</w:t>
      </w:r>
      <w:r>
        <w:rPr>
          <w:rFonts w:ascii="Arial" w:cs="Arial" w:eastAsia="Arial" w:hAnsi="Arial"/>
          <w:sz w:val="18"/>
          <w:szCs w:val="18"/>
          <w:color w:val="auto"/>
        </w:rPr>
        <w:t xml:space="preserve"> G</w:t>
      </w:r>
      <w:r>
        <w:rPr>
          <w:rFonts w:ascii="Arial" w:cs="Arial" w:eastAsia="Arial" w:hAnsi="Arial"/>
          <w:sz w:val="14"/>
          <w:szCs w:val="14"/>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4"/>
          <w:szCs w:val="14"/>
          <w:b w:val="1"/>
          <w:bCs w:val="1"/>
          <w:color w:val="auto"/>
        </w:rPr>
        <w:t>Vivek Gupta</w:t>
      </w:r>
    </w:p>
    <w:p>
      <w:pPr>
        <w:jc w:val="center"/>
        <w:ind w:left="5840"/>
        <w:spacing w:after="0" w:line="221" w:lineRule="auto"/>
        <w:rPr>
          <w:sz w:val="20"/>
          <w:szCs w:val="20"/>
          <w:color w:val="auto"/>
        </w:rPr>
      </w:pPr>
      <w:r>
        <w:rPr>
          <w:rFonts w:ascii="Arial" w:cs="Arial" w:eastAsia="Arial" w:hAnsi="Arial"/>
          <w:sz w:val="14"/>
          <w:szCs w:val="14"/>
          <w:b w:val="1"/>
          <w:bCs w:val="1"/>
          <w:i w:val="1"/>
          <w:iCs w:val="1"/>
          <w:color w:val="auto"/>
        </w:rPr>
        <w:t>President, Chief Executive Officer and Director</w:t>
      </w:r>
    </w:p>
    <w:p>
      <w:pPr>
        <w:jc w:val="center"/>
        <w:ind w:left="5840"/>
        <w:spacing w:after="0"/>
        <w:rPr>
          <w:sz w:val="20"/>
          <w:szCs w:val="20"/>
          <w:color w:val="auto"/>
        </w:rPr>
      </w:pPr>
      <w:r>
        <w:rPr>
          <w:rFonts w:ascii="Arial" w:cs="Arial" w:eastAsia="Arial" w:hAnsi="Arial"/>
          <w:sz w:val="14"/>
          <w:szCs w:val="14"/>
          <w:b w:val="1"/>
          <w:bCs w:val="1"/>
          <w:i w:val="1"/>
          <w:iCs w:val="1"/>
          <w:color w:val="auto"/>
        </w:rPr>
        <w:t>(Principal Executive Officer)</w:t>
      </w:r>
    </w:p>
    <w:p>
      <w:pPr>
        <w:spacing w:after="0" w:line="209" w:lineRule="exact"/>
        <w:rPr>
          <w:sz w:val="20"/>
          <w:szCs w:val="20"/>
          <w:color w:val="auto"/>
        </w:rPr>
      </w:pPr>
    </w:p>
    <w:p>
      <w:pPr>
        <w:ind w:left="7260"/>
        <w:spacing w:after="0"/>
        <w:tabs>
          <w:tab w:leader="none" w:pos="7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J. C</w:t>
      </w:r>
      <w:r>
        <w:rPr>
          <w:rFonts w:ascii="Arial" w:cs="Arial" w:eastAsia="Arial" w:hAnsi="Arial"/>
          <w:sz w:val="13"/>
          <w:szCs w:val="13"/>
          <w:color w:val="auto"/>
        </w:rPr>
        <w:t>RONIN</w:t>
      </w:r>
      <w:r>
        <w:rPr>
          <w:rFonts w:ascii="Arial" w:cs="Arial" w:eastAsia="Arial" w:hAnsi="Arial"/>
          <w:sz w:val="17"/>
          <w:szCs w:val="17"/>
          <w:color w:val="auto"/>
        </w:rPr>
        <w:t>, J</w:t>
      </w:r>
      <w:r>
        <w:rPr>
          <w:rFonts w:ascii="Arial" w:cs="Arial" w:eastAsia="Arial" w:hAnsi="Arial"/>
          <w:sz w:val="13"/>
          <w:szCs w:val="13"/>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4"/>
          <w:szCs w:val="14"/>
          <w:b w:val="1"/>
          <w:bCs w:val="1"/>
          <w:color w:val="auto"/>
        </w:rPr>
        <w:t>John J. Cronin, Jr.</w:t>
      </w:r>
    </w:p>
    <w:p>
      <w:pPr>
        <w:jc w:val="center"/>
        <w:ind w:left="5840"/>
        <w:spacing w:after="0" w:line="221" w:lineRule="auto"/>
        <w:rPr>
          <w:sz w:val="20"/>
          <w:szCs w:val="20"/>
          <w:color w:val="auto"/>
        </w:rPr>
      </w:pPr>
      <w:r>
        <w:rPr>
          <w:rFonts w:ascii="Arial" w:cs="Arial" w:eastAsia="Arial" w:hAnsi="Arial"/>
          <w:sz w:val="14"/>
          <w:szCs w:val="14"/>
          <w:b w:val="1"/>
          <w:bCs w:val="1"/>
          <w:i w:val="1"/>
          <w:iCs w:val="1"/>
          <w:color w:val="auto"/>
        </w:rPr>
        <w:t>Chief Financial Officer</w:t>
      </w:r>
    </w:p>
    <w:p>
      <w:pPr>
        <w:jc w:val="center"/>
        <w:ind w:left="5840"/>
        <w:spacing w:after="0"/>
        <w:rPr>
          <w:sz w:val="20"/>
          <w:szCs w:val="20"/>
          <w:color w:val="auto"/>
        </w:rPr>
      </w:pPr>
      <w:r>
        <w:rPr>
          <w:rFonts w:ascii="Arial" w:cs="Arial" w:eastAsia="Arial" w:hAnsi="Arial"/>
          <w:sz w:val="14"/>
          <w:szCs w:val="14"/>
          <w:b w:val="1"/>
          <w:bCs w:val="1"/>
          <w:i w:val="1"/>
          <w:iCs w:val="1"/>
          <w:color w:val="auto"/>
        </w:rPr>
        <w:t>(Principal Financial Officer and Principal Accounting Officer)</w:t>
      </w:r>
    </w:p>
    <w:p>
      <w:pPr>
        <w:spacing w:after="0" w:line="209" w:lineRule="exact"/>
        <w:rPr>
          <w:sz w:val="20"/>
          <w:szCs w:val="20"/>
          <w:color w:val="auto"/>
        </w:rPr>
      </w:pPr>
    </w:p>
    <w:p>
      <w:pPr>
        <w:ind w:left="7360"/>
        <w:spacing w:after="0"/>
        <w:tabs>
          <w:tab w:leader="none" w:pos="774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UNIL</w:t>
      </w:r>
      <w:r>
        <w:rPr>
          <w:rFonts w:ascii="Arial" w:cs="Arial" w:eastAsia="Arial" w:hAnsi="Arial"/>
          <w:sz w:val="18"/>
          <w:szCs w:val="18"/>
          <w:color w:val="auto"/>
        </w:rPr>
        <w:t xml:space="preserve"> W</w:t>
      </w:r>
      <w:r>
        <w:rPr>
          <w:rFonts w:ascii="Arial" w:cs="Arial" w:eastAsia="Arial" w:hAnsi="Arial"/>
          <w:sz w:val="14"/>
          <w:szCs w:val="14"/>
          <w:color w:val="auto"/>
        </w:rPr>
        <w:t>ADHWANI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4"/>
          <w:szCs w:val="14"/>
          <w:b w:val="1"/>
          <w:bCs w:val="1"/>
          <w:color w:val="auto"/>
        </w:rPr>
        <w:t>Sunil Wadhwani</w:t>
      </w:r>
    </w:p>
    <w:p>
      <w:pPr>
        <w:jc w:val="center"/>
        <w:ind w:left="5840"/>
        <w:spacing w:after="0"/>
        <w:rPr>
          <w:sz w:val="20"/>
          <w:szCs w:val="20"/>
          <w:color w:val="auto"/>
        </w:rPr>
      </w:pPr>
      <w:r>
        <w:rPr>
          <w:rFonts w:ascii="Arial" w:cs="Arial" w:eastAsia="Arial" w:hAnsi="Arial"/>
          <w:sz w:val="14"/>
          <w:szCs w:val="14"/>
          <w:b w:val="1"/>
          <w:bCs w:val="1"/>
          <w:i w:val="1"/>
          <w:iCs w:val="1"/>
          <w:color w:val="auto"/>
        </w:rPr>
        <w:t>Co-Chairman of the Board of Directors, and Director</w:t>
      </w:r>
    </w:p>
    <w:p>
      <w:pPr>
        <w:spacing w:after="0" w:line="209" w:lineRule="exact"/>
        <w:rPr>
          <w:sz w:val="20"/>
          <w:szCs w:val="20"/>
          <w:color w:val="auto"/>
        </w:rPr>
      </w:pPr>
    </w:p>
    <w:p>
      <w:pPr>
        <w:ind w:left="7480"/>
        <w:spacing w:after="0"/>
        <w:tabs>
          <w:tab w:leader="none" w:pos="780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SHOK</w:t>
      </w:r>
      <w:r>
        <w:rPr>
          <w:rFonts w:ascii="Arial" w:cs="Arial" w:eastAsia="Arial" w:hAnsi="Arial"/>
          <w:sz w:val="18"/>
          <w:szCs w:val="18"/>
          <w:color w:val="auto"/>
        </w:rPr>
        <w:t xml:space="preserve"> T</w:t>
      </w:r>
      <w:r>
        <w:rPr>
          <w:rFonts w:ascii="Arial" w:cs="Arial" w:eastAsia="Arial" w:hAnsi="Arial"/>
          <w:sz w:val="14"/>
          <w:szCs w:val="14"/>
          <w:color w:val="auto"/>
        </w:rPr>
        <w:t>RIVEDI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4"/>
          <w:szCs w:val="14"/>
          <w:b w:val="1"/>
          <w:bCs w:val="1"/>
          <w:color w:val="auto"/>
        </w:rPr>
        <w:t>Ashok Trivedi</w:t>
      </w:r>
    </w:p>
    <w:p>
      <w:pPr>
        <w:jc w:val="center"/>
        <w:ind w:left="5840"/>
        <w:spacing w:after="0"/>
        <w:rPr>
          <w:sz w:val="20"/>
          <w:szCs w:val="20"/>
          <w:color w:val="auto"/>
        </w:rPr>
      </w:pPr>
      <w:r>
        <w:rPr>
          <w:rFonts w:ascii="Arial" w:cs="Arial" w:eastAsia="Arial" w:hAnsi="Arial"/>
          <w:sz w:val="14"/>
          <w:szCs w:val="14"/>
          <w:b w:val="1"/>
          <w:bCs w:val="1"/>
          <w:i w:val="1"/>
          <w:iCs w:val="1"/>
          <w:color w:val="auto"/>
        </w:rPr>
        <w:t>Co-Chairman of the Board of Directors, and Director</w:t>
      </w:r>
    </w:p>
    <w:p>
      <w:pPr>
        <w:spacing w:after="0" w:line="209" w:lineRule="exact"/>
        <w:rPr>
          <w:sz w:val="20"/>
          <w:szCs w:val="20"/>
          <w:color w:val="auto"/>
        </w:rPr>
      </w:pPr>
    </w:p>
    <w:p>
      <w:pPr>
        <w:ind w:left="7220"/>
        <w:spacing w:after="0"/>
        <w:tabs>
          <w:tab w:leader="none" w:pos="758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ERHARD</w:t>
      </w:r>
      <w:r>
        <w:rPr>
          <w:rFonts w:ascii="Arial" w:cs="Arial" w:eastAsia="Arial" w:hAnsi="Arial"/>
          <w:sz w:val="18"/>
          <w:szCs w:val="18"/>
          <w:color w:val="auto"/>
        </w:rPr>
        <w:t xml:space="preserve"> W</w:t>
      </w:r>
      <w:r>
        <w:rPr>
          <w:rFonts w:ascii="Arial" w:cs="Arial" w:eastAsia="Arial" w:hAnsi="Arial"/>
          <w:sz w:val="14"/>
          <w:szCs w:val="14"/>
          <w:color w:val="auto"/>
        </w:rPr>
        <w:t>ATZINGER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4"/>
          <w:szCs w:val="14"/>
          <w:b w:val="1"/>
          <w:bCs w:val="1"/>
          <w:color w:val="auto"/>
        </w:rPr>
        <w:t>Gerhard Watzinger</w:t>
      </w:r>
    </w:p>
    <w:p>
      <w:pPr>
        <w:jc w:val="center"/>
        <w:ind w:left="5840"/>
        <w:spacing w:after="0"/>
        <w:rPr>
          <w:sz w:val="20"/>
          <w:szCs w:val="20"/>
          <w:color w:val="auto"/>
        </w:rPr>
      </w:pPr>
      <w:r>
        <w:rPr>
          <w:rFonts w:ascii="Arial" w:cs="Arial" w:eastAsia="Arial" w:hAnsi="Arial"/>
          <w:sz w:val="14"/>
          <w:szCs w:val="14"/>
          <w:b w:val="1"/>
          <w:bCs w:val="1"/>
          <w:i w:val="1"/>
          <w:iCs w:val="1"/>
          <w:color w:val="auto"/>
        </w:rPr>
        <w:t>Director</w:t>
      </w:r>
    </w:p>
    <w:p>
      <w:pPr>
        <w:spacing w:after="0" w:line="209" w:lineRule="exact"/>
        <w:rPr>
          <w:sz w:val="20"/>
          <w:szCs w:val="20"/>
          <w:color w:val="auto"/>
        </w:rPr>
      </w:pPr>
    </w:p>
    <w:p>
      <w:pPr>
        <w:ind w:left="7540"/>
        <w:spacing w:after="0"/>
        <w:tabs>
          <w:tab w:leader="none" w:pos="78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A</w:t>
      </w:r>
      <w:r>
        <w:rPr>
          <w:rFonts w:ascii="Arial" w:cs="Arial" w:eastAsia="Arial" w:hAnsi="Arial"/>
          <w:sz w:val="13"/>
          <w:szCs w:val="13"/>
          <w:color w:val="auto"/>
        </w:rPr>
        <w:t>USURA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4"/>
          <w:szCs w:val="14"/>
          <w:b w:val="1"/>
          <w:bCs w:val="1"/>
          <w:color w:val="auto"/>
        </w:rPr>
        <w:t>John Ausura</w:t>
      </w:r>
    </w:p>
    <w:p>
      <w:pPr>
        <w:jc w:val="center"/>
        <w:ind w:left="5840"/>
        <w:spacing w:after="0"/>
        <w:rPr>
          <w:sz w:val="20"/>
          <w:szCs w:val="20"/>
          <w:color w:val="auto"/>
        </w:rPr>
      </w:pPr>
      <w:r>
        <w:rPr>
          <w:rFonts w:ascii="Arial" w:cs="Arial" w:eastAsia="Arial" w:hAnsi="Arial"/>
          <w:sz w:val="14"/>
          <w:szCs w:val="14"/>
          <w:b w:val="1"/>
          <w:bCs w:val="1"/>
          <w:i w:val="1"/>
          <w:iCs w:val="1"/>
          <w:color w:val="auto"/>
        </w:rPr>
        <w:t>Director</w:t>
      </w:r>
    </w:p>
    <w:p>
      <w:pPr>
        <w:spacing w:after="0" w:line="209" w:lineRule="exact"/>
        <w:rPr>
          <w:sz w:val="20"/>
          <w:szCs w:val="20"/>
          <w:color w:val="auto"/>
        </w:rPr>
      </w:pPr>
    </w:p>
    <w:p>
      <w:pPr>
        <w:ind w:left="7400"/>
        <w:spacing w:after="0"/>
        <w:tabs>
          <w:tab w:leader="none" w:pos="7740" w:val="left"/>
        </w:tabs>
        <w:rPr>
          <w:sz w:val="20"/>
          <w:szCs w:val="20"/>
          <w:color w:val="auto"/>
        </w:rPr>
      </w:pPr>
      <w:r>
        <w:rPr>
          <w:rFonts w:ascii="Arial" w:cs="Arial" w:eastAsia="Arial" w:hAnsi="Arial"/>
          <w:sz w:val="18"/>
          <w:szCs w:val="18"/>
          <w:color w:val="auto"/>
        </w:rPr>
        <w:t>/s/</w:t>
        <w:tab/>
        <w:t>B</w:t>
      </w:r>
      <w:r>
        <w:rPr>
          <w:rFonts w:ascii="Arial" w:cs="Arial" w:eastAsia="Arial" w:hAnsi="Arial"/>
          <w:sz w:val="14"/>
          <w:szCs w:val="14"/>
          <w:color w:val="auto"/>
        </w:rPr>
        <w:t>RENDA</w:t>
      </w:r>
      <w:r>
        <w:rPr>
          <w:rFonts w:ascii="Arial" w:cs="Arial" w:eastAsia="Arial" w:hAnsi="Arial"/>
          <w:sz w:val="18"/>
          <w:szCs w:val="18"/>
          <w:color w:val="auto"/>
        </w:rPr>
        <w:t xml:space="preserve"> G</w:t>
      </w:r>
      <w:r>
        <w:rPr>
          <w:rFonts w:ascii="Arial" w:cs="Arial" w:eastAsia="Arial" w:hAnsi="Arial"/>
          <w:sz w:val="14"/>
          <w:szCs w:val="14"/>
          <w:color w:val="auto"/>
        </w:rPr>
        <w:t>ALILEE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4"/>
          <w:szCs w:val="14"/>
          <w:b w:val="1"/>
          <w:bCs w:val="1"/>
          <w:color w:val="auto"/>
        </w:rPr>
        <w:t>Brenda Galilee</w:t>
      </w:r>
    </w:p>
    <w:p>
      <w:pPr>
        <w:jc w:val="center"/>
        <w:ind w:left="5840"/>
        <w:spacing w:after="0"/>
        <w:rPr>
          <w:sz w:val="20"/>
          <w:szCs w:val="20"/>
          <w:color w:val="auto"/>
        </w:rPr>
      </w:pPr>
      <w:r>
        <w:rPr>
          <w:rFonts w:ascii="Arial" w:cs="Arial" w:eastAsia="Arial" w:hAnsi="Arial"/>
          <w:sz w:val="14"/>
          <w:szCs w:val="14"/>
          <w:b w:val="1"/>
          <w:bCs w:val="1"/>
          <w:i w:val="1"/>
          <w:iCs w:val="1"/>
          <w:color w:val="auto"/>
        </w:rPr>
        <w:t>Director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86" w:right="47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DIRECTOR COMPENSATION ARRANGEMENTS</w:t>
      </w:r>
    </w:p>
    <w:p>
      <w:pPr>
        <w:spacing w:after="0" w:line="229"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Independent non-employee directors of Mastech Digital, Inc. (the “Company”) will receive an annual retainer fee of $65,000 in 2022, other than the Chair of the Audit Committee who will receive an annual retainer fee of $69,000 in 2022. In addition, independent non-employee directors of the Company are eligible to participate in the Company’s Stock Incentive Plan, as amended (the “Stock Incentive Plan”). On January 30, 2022, our independent non-employee directors each received a restricted share grant under the Stock Incentive Plan of 3,768 restricted shares, which shares vest over a one-year period.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Non-independent directors of the Company will not receive any compensation for their service as directors of the Company.</w:t>
      </w:r>
    </w:p>
    <w:p>
      <w:pPr>
        <w:spacing w:after="0" w:line="22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All of the Company’s directors are reimbursed for reasonable travel expenses incurred in connection with attending Board of Directors and committee meetings.</w:t>
      </w:r>
    </w:p>
    <w:p>
      <w:pPr>
        <w:sectPr>
          <w:pgSz w:w="11900" w:h="16838" w:orient="portrait"/>
          <w:cols w:equalWidth="0" w:num="1">
            <w:col w:w="11020"/>
          </w:cols>
          <w:pgMar w:left="440" w:top="121" w:right="4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gridSpan w:val="2"/>
          </w:tcPr>
          <w:p>
            <w:pPr>
              <w:ind w:left="900"/>
              <w:spacing w:after="0"/>
              <w:rPr>
                <w:sz w:val="20"/>
                <w:szCs w:val="20"/>
                <w:color w:val="auto"/>
              </w:rPr>
            </w:pPr>
            <w:r>
              <w:rPr>
                <w:rFonts w:ascii="Arial" w:cs="Arial" w:eastAsia="Arial" w:hAnsi="Arial"/>
                <w:sz w:val="18"/>
                <w:szCs w:val="18"/>
                <w:b w:val="1"/>
                <w:bCs w:val="1"/>
                <w:color w:val="auto"/>
                <w:w w:val="91"/>
              </w:rPr>
              <w:t>Exhibit 21.1</w:t>
            </w:r>
          </w:p>
        </w:tc>
      </w:tr>
      <w:tr>
        <w:trPr>
          <w:trHeight w:val="432"/>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SUBSIDIARIES</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9100" w:type="dxa"/>
            <w:vAlign w:val="bottom"/>
            <w:gridSpan w:val="2"/>
          </w:tcPr>
          <w:p>
            <w:pPr>
              <w:ind w:left="540"/>
              <w:spacing w:after="0"/>
              <w:rPr>
                <w:sz w:val="20"/>
                <w:szCs w:val="20"/>
                <w:color w:val="auto"/>
              </w:rPr>
            </w:pPr>
            <w:r>
              <w:rPr>
                <w:rFonts w:ascii="Arial" w:cs="Arial" w:eastAsia="Arial" w:hAnsi="Arial"/>
                <w:sz w:val="14"/>
                <w:szCs w:val="14"/>
                <w:b w:val="1"/>
                <w:bCs w:val="1"/>
                <w:color w:val="auto"/>
              </w:rPr>
              <w:t>Incorporation/Organization</w:t>
            </w:r>
          </w:p>
        </w:tc>
        <w:tc>
          <w:tcPr>
            <w:tcW w:w="8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Jurisdiction of</w:t>
            </w:r>
          </w:p>
        </w:tc>
      </w:tr>
      <w:tr>
        <w:trPr>
          <w:trHeight w:val="195"/>
        </w:trPr>
        <w:tc>
          <w:tcPr>
            <w:tcW w:w="540" w:type="dxa"/>
            <w:vAlign w:val="bottom"/>
          </w:tcPr>
          <w:p>
            <w:pPr>
              <w:spacing w:after="0"/>
              <w:rPr>
                <w:sz w:val="16"/>
                <w:szCs w:val="16"/>
                <w:color w:val="auto"/>
              </w:rPr>
            </w:pPr>
          </w:p>
        </w:tc>
        <w:tc>
          <w:tcPr>
            <w:tcW w:w="8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Mastech Digital Technologies, Inc.</w:t>
            </w:r>
          </w:p>
        </w:tc>
        <w:tc>
          <w:tcPr>
            <w:tcW w:w="80" w:type="dxa"/>
            <w:vAlign w:val="bottom"/>
          </w:tcPr>
          <w:p>
            <w:pPr>
              <w:spacing w:after="0"/>
              <w:rPr>
                <w:sz w:val="16"/>
                <w:szCs w:val="16"/>
                <w:color w:val="auto"/>
              </w:rPr>
            </w:pPr>
          </w:p>
        </w:tc>
        <w:tc>
          <w:tcPr>
            <w:tcW w:w="1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Pennsylvania</w:t>
            </w:r>
          </w:p>
        </w:tc>
        <w:tc>
          <w:tcPr>
            <w:tcW w:w="560" w:type="dxa"/>
            <w:vAlign w:val="bottom"/>
          </w:tcPr>
          <w:p>
            <w:pPr>
              <w:spacing w:after="0"/>
              <w:rPr>
                <w:sz w:val="16"/>
                <w:szCs w:val="16"/>
                <w:color w:val="auto"/>
              </w:rPr>
            </w:pP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Digital Alliances, Inc.</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Pennsylvania</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Digital Resourcing, Inc.</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Pennsylvania</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Digital Services, Inc.</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Pennsylvania</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Digital Consulting, Inc.</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Pennsylvania</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Digital Solutions, Inc.</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Pennsylvania</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Digital InfoTech, Inc.</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Pennsylvania</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Digital Systems, Inc.</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Pennsylvania</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Digital Data, Inc.</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Delaware</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Digital Pvt, Ltd.</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India</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InfoTrellis, Inc.</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Delaware</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InfoTrellis Digital, Ltd.</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Canada</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InfoTrellis India Pvt, Ltd.</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India</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InfoTrellis, PTE, Ltd.</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Singapore</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InfoTrellis, Ltd.</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England &amp; Wales</w:t>
            </w:r>
          </w:p>
        </w:tc>
      </w:tr>
      <w:tr>
        <w:trPr>
          <w:trHeight w:val="216"/>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Mastech InfoTrellis Limited</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Ireland</w:t>
            </w:r>
          </w:p>
        </w:tc>
      </w:tr>
      <w:tr>
        <w:trPr>
          <w:trHeight w:val="230"/>
        </w:trPr>
        <w:tc>
          <w:tcPr>
            <w:tcW w:w="9100" w:type="dxa"/>
            <w:vAlign w:val="bottom"/>
            <w:gridSpan w:val="2"/>
          </w:tcPr>
          <w:p>
            <w:pPr>
              <w:ind w:left="540"/>
              <w:spacing w:after="0"/>
              <w:rPr>
                <w:sz w:val="20"/>
                <w:szCs w:val="20"/>
                <w:color w:val="auto"/>
              </w:rPr>
            </w:pPr>
            <w:r>
              <w:rPr>
                <w:rFonts w:ascii="Arial" w:cs="Arial" w:eastAsia="Arial" w:hAnsi="Arial"/>
                <w:sz w:val="18"/>
                <w:szCs w:val="18"/>
                <w:color w:val="auto"/>
              </w:rPr>
              <w:t>AmberLeaf Partners, Inc.</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rPr>
              <w:t>Illinois</w:t>
            </w:r>
          </w:p>
        </w:tc>
      </w:tr>
    </w:tbl>
    <w:p>
      <w:pPr>
        <w:sectPr>
          <w:pgSz w:w="11900" w:h="16838" w:orient="portrait"/>
          <w:cols w:equalWidth="0" w:num="1">
            <w:col w:w="11020"/>
          </w:cols>
          <w:pgMar w:left="440" w:top="121" w:right="4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Mastech Digital, Inc.</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333-153759, 333-212413, 333-228808 and 333-240172) of Mastech Digital, Inc. of our reports dated March 14, 2022, relating to the consolidated financial statements and financial statement schedule, which appear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UHY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Farmington Hills,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11020"/>
          </w:cols>
          <w:pgMar w:left="440" w:top="121" w:right="4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Gupta, certify that:</w:t>
      </w:r>
    </w:p>
    <w:p>
      <w:pPr>
        <w:spacing w:after="0" w:line="117" w:lineRule="exact"/>
        <w:rPr>
          <w:sz w:val="20"/>
          <w:szCs w:val="20"/>
          <w:color w:val="auto"/>
        </w:rPr>
      </w:pPr>
    </w:p>
    <w:p>
      <w:pPr>
        <w:ind w:left="620" w:hanging="184"/>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Mastech Digital, Inc.;</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20" w:firstLine="436"/>
        <w:spacing w:after="0" w:line="263"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40" w:right="280" w:firstLine="419"/>
        <w:spacing w:after="0" w:line="263" w:lineRule="auto"/>
        <w:tabs>
          <w:tab w:leader="none" w:pos="11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20" w:firstLine="419"/>
        <w:spacing w:after="0" w:line="342" w:lineRule="auto"/>
        <w:tabs>
          <w:tab w:leader="none" w:pos="1108"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80" w:firstLine="419"/>
        <w:spacing w:after="0" w:line="263" w:lineRule="auto"/>
        <w:tabs>
          <w:tab w:leader="none" w:pos="111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80" w:firstLine="436"/>
        <w:spacing w:after="0" w:line="342" w:lineRule="auto"/>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MASTECH DIGITAL, INC.</w:t>
      </w:r>
    </w:p>
    <w:p>
      <w:pPr>
        <w:spacing w:after="0" w:line="239"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IVEK</w:t>
      </w:r>
      <w:r>
        <w:rPr>
          <w:rFonts w:ascii="Arial" w:cs="Arial" w:eastAsia="Arial" w:hAnsi="Arial"/>
          <w:sz w:val="18"/>
          <w:szCs w:val="18"/>
          <w:color w:val="auto"/>
        </w:rPr>
        <w:t xml:space="preserve"> G</w:t>
      </w:r>
      <w:r>
        <w:rPr>
          <w:rFonts w:ascii="Arial" w:cs="Arial" w:eastAsia="Arial" w:hAnsi="Arial"/>
          <w:sz w:val="14"/>
          <w:szCs w:val="14"/>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Vivek Gupta</w:t>
      </w:r>
    </w:p>
    <w:p>
      <w:pPr>
        <w:spacing w:after="0" w:line="2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i w:val="1"/>
          <w:iCs w:val="1"/>
          <w:color w:val="auto"/>
        </w:rPr>
        <w:t>President and Chief Executive Officer</w:t>
      </w:r>
    </w:p>
    <w:p>
      <w:pPr>
        <w:sectPr>
          <w:pgSz w:w="11900" w:h="16838" w:orient="portrait"/>
          <w:cols w:equalWidth="0" w:num="1">
            <w:col w:w="11020"/>
          </w:cols>
          <w:pgMar w:left="440" w:top="121" w:right="4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J. Cronin, Jr., certify that:</w:t>
      </w:r>
    </w:p>
    <w:p>
      <w:pPr>
        <w:spacing w:after="0" w:line="117" w:lineRule="exact"/>
        <w:rPr>
          <w:sz w:val="20"/>
          <w:szCs w:val="20"/>
          <w:color w:val="auto"/>
        </w:rPr>
      </w:pPr>
    </w:p>
    <w:p>
      <w:pPr>
        <w:ind w:left="620" w:hanging="184"/>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Mastech Digital, Inc.;</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20" w:firstLine="436"/>
        <w:spacing w:after="0" w:line="263"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40" w:right="280" w:firstLine="419"/>
        <w:spacing w:after="0" w:line="263" w:lineRule="auto"/>
        <w:tabs>
          <w:tab w:leader="none" w:pos="110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20" w:firstLine="419"/>
        <w:spacing w:after="0" w:line="342" w:lineRule="auto"/>
        <w:tabs>
          <w:tab w:leader="none" w:pos="1108"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80" w:firstLine="419"/>
        <w:spacing w:after="0" w:line="263" w:lineRule="auto"/>
        <w:tabs>
          <w:tab w:leader="none" w:pos="11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80" w:firstLine="436"/>
        <w:spacing w:after="0" w:line="342" w:lineRule="auto"/>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MASTECH DIGITAL, INC.</w:t>
      </w:r>
    </w:p>
    <w:p>
      <w:pPr>
        <w:spacing w:after="0" w:line="225"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J. C</w:t>
      </w:r>
      <w:r>
        <w:rPr>
          <w:rFonts w:ascii="Arial" w:cs="Arial" w:eastAsia="Arial" w:hAnsi="Arial"/>
          <w:sz w:val="13"/>
          <w:szCs w:val="13"/>
          <w:color w:val="auto"/>
        </w:rPr>
        <w:t>RONIN</w:t>
      </w:r>
      <w:r>
        <w:rPr>
          <w:rFonts w:ascii="Arial" w:cs="Arial" w:eastAsia="Arial" w:hAnsi="Arial"/>
          <w:sz w:val="17"/>
          <w:szCs w:val="17"/>
          <w:color w:val="auto"/>
        </w:rPr>
        <w:t>, J</w:t>
      </w:r>
      <w:r>
        <w:rPr>
          <w:rFonts w:ascii="Arial" w:cs="Arial" w:eastAsia="Arial" w:hAnsi="Arial"/>
          <w:sz w:val="13"/>
          <w:szCs w:val="13"/>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i w:val="1"/>
          <w:iCs w:val="1"/>
          <w:color w:val="auto"/>
        </w:rPr>
        <w:t>Chief Financial Officer</w:t>
      </w:r>
    </w:p>
    <w:p>
      <w:pPr>
        <w:sectPr>
          <w:pgSz w:w="11900" w:h="16838" w:orient="portrait"/>
          <w:cols w:equalWidth="0" w:num="1">
            <w:col w:w="11020"/>
          </w:cols>
          <w:pgMar w:left="440" w:top="121" w:right="4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In connection with the Annual Report of Mastech Digital, Inc. (the “Company”) on Form 10-K for the year ending December 31, 2021,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57" w:lineRule="exact"/>
        <w:rPr>
          <w:sz w:val="20"/>
          <w:szCs w:val="20"/>
          <w:color w:val="auto"/>
        </w:rPr>
      </w:pPr>
    </w:p>
    <w:p>
      <w:pPr>
        <w:ind w:left="1120" w:hanging="261"/>
        <w:spacing w:after="0"/>
        <w:tabs>
          <w:tab w:leader="none" w:pos="11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440" w:right="240" w:firstLine="419"/>
        <w:spacing w:after="0" w:line="277" w:lineRule="auto"/>
        <w:tabs>
          <w:tab w:leader="none" w:pos="11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2022</w:t>
      </w:r>
    </w:p>
    <w:p>
      <w:pPr>
        <w:spacing w:after="0" w:line="252"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IVEK</w:t>
      </w:r>
      <w:r>
        <w:rPr>
          <w:rFonts w:ascii="Arial" w:cs="Arial" w:eastAsia="Arial" w:hAnsi="Arial"/>
          <w:sz w:val="18"/>
          <w:szCs w:val="18"/>
          <w:color w:val="auto"/>
        </w:rPr>
        <w:t xml:space="preserve"> G</w:t>
      </w:r>
      <w:r>
        <w:rPr>
          <w:rFonts w:ascii="Arial" w:cs="Arial" w:eastAsia="Arial" w:hAnsi="Arial"/>
          <w:sz w:val="14"/>
          <w:szCs w:val="14"/>
          <w:color w:val="auto"/>
        </w:rPr>
        <w:t>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Vivek Gupta</w:t>
      </w:r>
    </w:p>
    <w:p>
      <w:pPr>
        <w:spacing w:after="0" w:line="27"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i w:val="1"/>
          <w:iCs w:val="1"/>
          <w:color w:val="auto"/>
        </w:rPr>
        <w:t>President and Chief Executive Officer</w:t>
      </w:r>
    </w:p>
    <w:p>
      <w:pPr>
        <w:sectPr>
          <w:pgSz w:w="11900" w:h="16838" w:orient="portrait"/>
          <w:cols w:equalWidth="0" w:num="1">
            <w:col w:w="11020"/>
          </w:cols>
          <w:pgMar w:left="440" w:top="121" w:right="4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In connection with the Annual Report of Mastech Digital, Inc. (the “Company”) on Form 10-K for the year ending December 31, 2021,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57" w:lineRule="exact"/>
        <w:rPr>
          <w:sz w:val="20"/>
          <w:szCs w:val="20"/>
          <w:color w:val="auto"/>
        </w:rPr>
      </w:pPr>
    </w:p>
    <w:p>
      <w:pPr>
        <w:ind w:left="1120" w:hanging="261"/>
        <w:spacing w:after="0"/>
        <w:tabs>
          <w:tab w:leader="none" w:pos="11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440" w:right="240" w:firstLine="419"/>
        <w:spacing w:after="0" w:line="277" w:lineRule="auto"/>
        <w:tabs>
          <w:tab w:leader="none" w:pos="11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2022</w:t>
      </w:r>
    </w:p>
    <w:p>
      <w:pPr>
        <w:spacing w:after="0" w:line="252"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J. C</w:t>
      </w:r>
      <w:r>
        <w:rPr>
          <w:rFonts w:ascii="Arial" w:cs="Arial" w:eastAsia="Arial" w:hAnsi="Arial"/>
          <w:sz w:val="14"/>
          <w:szCs w:val="14"/>
          <w:color w:val="auto"/>
        </w:rPr>
        <w:t>RONIN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John J. Cronin Jr.</w:t>
      </w:r>
    </w:p>
    <w:p>
      <w:pPr>
        <w:spacing w:after="0" w:line="27"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i w:val="1"/>
          <w:iCs w:val="1"/>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lowerLetter"/>
      <w:start w:val="2"/>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2"/>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2"/>
    </w:lvl>
  </w:abstractNum>
  <w:abstractNum w:abstractNumId="29">
    <w:nsid w:val="1D4ED43B"/>
    <w:multiLevelType w:val="hybridMultilevel"/>
    <w:lvl w:ilvl="0">
      <w:lvlJc w:val="left"/>
      <w:lvlText w:val="%1."/>
      <w:numFmt w:val="decimal"/>
      <w:start w:val="3"/>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4"/>
    </w:lvl>
  </w:abstractNum>
  <w:abstractNum w:abstractNumId="32">
    <w:nsid w:val="57E4CCAF"/>
    <w:multiLevelType w:val="hybridMultilevel"/>
    <w:lvl w:ilvl="0">
      <w:lvlJc w:val="left"/>
      <w:lvlText w:val="%1."/>
      <w:numFmt w:val="decimal"/>
      <w:start w:val="5"/>
    </w:lvl>
  </w:abstractNum>
  <w:abstractNum w:abstractNumId="33">
    <w:nsid w:val="7A6D8D3C"/>
    <w:multiLevelType w:val="hybridMultilevel"/>
    <w:lvl w:ilvl="0">
      <w:lvlJc w:val="left"/>
      <w:lvlText w:val="%1."/>
      <w:numFmt w:val="decimal"/>
      <w:start w:val="6"/>
    </w:lvl>
  </w:abstractNum>
  <w:abstractNum w:abstractNumId="34">
    <w:nsid w:val="4B588F54"/>
    <w:multiLevelType w:val="hybridMultilevel"/>
    <w:lvl w:ilvl="0">
      <w:lvlJc w:val="left"/>
      <w:lvlText w:val="%1."/>
      <w:numFmt w:val="decimal"/>
      <w:start w:val="7"/>
    </w:lvl>
  </w:abstractNum>
  <w:abstractNum w:abstractNumId="35">
    <w:nsid w:val="542289EC"/>
    <w:multiLevelType w:val="hybridMultilevel"/>
    <w:lvl w:ilvl="0">
      <w:lvlJc w:val="left"/>
      <w:lvlText w:val="%1."/>
      <w:numFmt w:val="decimal"/>
      <w:start w:val="8"/>
    </w:lvl>
  </w:abstractNum>
  <w:abstractNum w:abstractNumId="36">
    <w:nsid w:val="6DE91B18"/>
    <w:multiLevelType w:val="hybridMultilevel"/>
    <w:lvl w:ilvl="0">
      <w:lvlJc w:val="left"/>
      <w:lvlText w:val="%1."/>
      <w:numFmt w:val="decimal"/>
      <w:start w:val="9"/>
    </w:lvl>
  </w:abstractNum>
  <w:abstractNum w:abstractNumId="37">
    <w:nsid w:val="38437FDB"/>
    <w:multiLevelType w:val="hybridMultilevel"/>
    <w:lvl w:ilvl="0">
      <w:lvlJc w:val="left"/>
      <w:lvlText w:val="%1."/>
      <w:numFmt w:val="decimal"/>
      <w:start w:val="10"/>
    </w:lvl>
  </w:abstractNum>
  <w:abstractNum w:abstractNumId="38">
    <w:nsid w:val="7644A45C"/>
    <w:multiLevelType w:val="hybridMultilevel"/>
    <w:lvl w:ilvl="0">
      <w:lvlJc w:val="left"/>
      <w:lvlText w:val="%1."/>
      <w:numFmt w:val="decimal"/>
      <w:start w:val="11"/>
    </w:lvl>
  </w:abstractNum>
  <w:abstractNum w:abstractNumId="39">
    <w:nsid w:val="32FFF902"/>
    <w:multiLevelType w:val="hybridMultilevel"/>
    <w:lvl w:ilvl="0">
      <w:lvlJc w:val="left"/>
      <w:lvlText w:val="%1."/>
      <w:numFmt w:val="decimal"/>
      <w:start w:val="12"/>
    </w:lvl>
  </w:abstractNum>
  <w:abstractNum w:abstractNumId="40">
    <w:nsid w:val="684A481A"/>
    <w:multiLevelType w:val="hybridMultilevel"/>
    <w:lvl w:ilvl="0">
      <w:lvlJc w:val="left"/>
      <w:lvlText w:val="%1."/>
      <w:numFmt w:val="decimal"/>
      <w:start w:val="13"/>
    </w:lvl>
  </w:abstractNum>
  <w:abstractNum w:abstractNumId="41">
    <w:nsid w:val="579478FE"/>
    <w:multiLevelType w:val="hybridMultilevel"/>
    <w:lvl w:ilvl="0">
      <w:lvlJc w:val="left"/>
      <w:lvlText w:val="%1."/>
      <w:numFmt w:val="decimal"/>
      <w:start w:val="14"/>
    </w:lvl>
  </w:abstractNum>
  <w:abstractNum w:abstractNumId="42">
    <w:nsid w:val="749ABB43"/>
    <w:multiLevelType w:val="hybridMultilevel"/>
    <w:lvl w:ilvl="0">
      <w:lvlJc w:val="left"/>
      <w:lvlText w:val="%1."/>
      <w:numFmt w:val="decimal"/>
      <w:start w:val="15"/>
    </w:lvl>
  </w:abstractNum>
  <w:abstractNum w:abstractNumId="43">
    <w:nsid w:val="3DC240FB"/>
    <w:multiLevelType w:val="hybridMultilevel"/>
    <w:lvl w:ilvl="0">
      <w:lvlJc w:val="left"/>
      <w:lvlText w:val="%1."/>
      <w:numFmt w:val="decimal"/>
      <w:start w:val="16"/>
    </w:lvl>
  </w:abstractNum>
  <w:abstractNum w:abstractNumId="44">
    <w:nsid w:val="1BA026FA"/>
    <w:multiLevelType w:val="hybridMultilevel"/>
    <w:lvl w:ilvl="0">
      <w:lvlJc w:val="left"/>
      <w:lvlText w:val="%1."/>
      <w:numFmt w:val="decimal"/>
      <w:start w:val="17"/>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8"/>
    </w:lvl>
  </w:abstractNum>
  <w:abstractNum w:abstractNumId="47">
    <w:nsid w:val="12E685FB"/>
    <w:multiLevelType w:val="hybridMultilevel"/>
    <w:lvl w:ilvl="0">
      <w:lvlJc w:val="left"/>
      <w:lvlText w:val="%1."/>
      <w:numFmt w:val="decimal"/>
      <w:start w:val="19"/>
    </w:lvl>
  </w:abstractNum>
  <w:abstractNum w:abstractNumId="48">
    <w:nsid w:val="70C6A529"/>
    <w:multiLevelType w:val="hybridMultilevel"/>
    <w:lvl w:ilvl="0">
      <w:lvlJc w:val="left"/>
      <w:lvlText w:val="(%1)"/>
      <w:numFmt w:val="decimal"/>
      <w:start w:val="2"/>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2"/>
    </w:lvl>
  </w:abstractNum>
  <w:abstractNum w:abstractNumId="51">
    <w:nsid w:val="4F4EF005"/>
    <w:multiLevelType w:val="hybridMultilevel"/>
    <w:lvl w:ilvl="0">
      <w:lvlJc w:val="left"/>
      <w:lvlText w:val="%1."/>
      <w:numFmt w:val="decimal"/>
      <w:start w:val="3"/>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1" Type="http://schemas.openxmlformats.org/officeDocument/2006/relationships/image" Target="media/image101.png"/><Relationship Id="rId13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08" Type="http://schemas.openxmlformats.org/officeDocument/2006/relationships/hyperlink" Target="http://www.sec.gov/Archives/edgar/data/1437226/000119312517227155/d424757dex21.htm" TargetMode="External"/><Relationship Id="rId109" Type="http://schemas.openxmlformats.org/officeDocument/2006/relationships/hyperlink" Target="http://www.sec.gov/Archives/edgar/data/1437226/000119312517227155/d424757dex22.htm" TargetMode="External"/><Relationship Id="rId110" Type="http://schemas.openxmlformats.org/officeDocument/2006/relationships/hyperlink" Target="http://www.sec.gov/Archives/edgar/data/1437226/000119312517227155/d424757dex23.htm" TargetMode="External"/><Relationship Id="rId111" Type="http://schemas.openxmlformats.org/officeDocument/2006/relationships/hyperlink" Target="http://www.sec.gov/Archives/edgar/data/1437226/000119312520264842/d90239dex101.htm" TargetMode="External"/><Relationship Id="rId112" Type="http://schemas.openxmlformats.org/officeDocument/2006/relationships/hyperlink" Target="http://www.sec.gov/Archives/edgar/data/1437226/000119312516707483/d226771dex31.htm" TargetMode="External"/><Relationship Id="rId113" Type="http://schemas.openxmlformats.org/officeDocument/2006/relationships/hyperlink" Target="http://www.sec.gov/Archives/edgar/data/1437226/000119312516707483/d226771dex32.htm" TargetMode="External"/><Relationship Id="rId114" Type="http://schemas.openxmlformats.org/officeDocument/2006/relationships/hyperlink" Target="http://www.sec.gov/Archives/edgar/data/1437226/000119312517094899/d297822dex41.htm" TargetMode="External"/><Relationship Id="rId115" Type="http://schemas.openxmlformats.org/officeDocument/2006/relationships/hyperlink" Target="http://www.sec.gov/Archives/edgar/data/1437226/000119312520251009/d152276dex101.htm" TargetMode="External"/><Relationship Id="rId116" Type="http://schemas.openxmlformats.org/officeDocument/2006/relationships/hyperlink" Target="http://www.sec.gov/Archives/edgar/data/1437226/000119312520090186/d865241dex43.htm" TargetMode="External"/><Relationship Id="rId117" Type="http://schemas.openxmlformats.org/officeDocument/2006/relationships/hyperlink" Target="http://www.sec.gov/Archives/edgar/data/1437226/000119312516599231/d196856dex102.htm" TargetMode="External"/><Relationship Id="rId118" Type="http://schemas.openxmlformats.org/officeDocument/2006/relationships/hyperlink" Target="http://www.sec.gov/Archives/edgar/data/1437226/000119312516599231/d196856dex101.htm" TargetMode="External"/><Relationship Id="rId119" Type="http://schemas.openxmlformats.org/officeDocument/2006/relationships/hyperlink" Target="http://www.sec.gov/Archives/edgar/data/1437226/000119312518167995/d576649dex101.htm" TargetMode="External"/><Relationship Id="rId120" Type="http://schemas.openxmlformats.org/officeDocument/2006/relationships/hyperlink" Target="http://www.sec.gov/Archives/edgar/data/1437226/000119312519151767/d736344dex101.htm" TargetMode="External"/><Relationship Id="rId122" Type="http://schemas.openxmlformats.org/officeDocument/2006/relationships/hyperlink" Target="http://www.sec.gov/Archives/edgar/data/1437226/000119312520145164/d929954dex101.htm" TargetMode="External"/><Relationship Id="rId123" Type="http://schemas.openxmlformats.org/officeDocument/2006/relationships/hyperlink" Target="http://www.sec.gov/Archives/edgar/data/1437226/000119312517231348/d427172dex101.htm" TargetMode="External"/><Relationship Id="rId124" Type="http://schemas.openxmlformats.org/officeDocument/2006/relationships/hyperlink" Target="http://www.sec.gov/Archives/edgar/data/1437226/000119312518159870/d523899dex103.htm" TargetMode="External"/><Relationship Id="rId125" Type="http://schemas.openxmlformats.org/officeDocument/2006/relationships/hyperlink" Target="http://www.sec.gov/Archives/edgar/data/1437226/000119312518131296/d553819dex101.htm" TargetMode="External"/><Relationship Id="rId126" Type="http://schemas.openxmlformats.org/officeDocument/2006/relationships/hyperlink" Target="http://www.sec.gov/Archives/edgar/data/1437226/000119312520265602/d54696dex102.htm" TargetMode="External"/><Relationship Id="rId127" Type="http://schemas.openxmlformats.org/officeDocument/2006/relationships/hyperlink" Target="http://www.sec.gov/ix?doc=/Archives/edgar/data/1437226/000119312522001694/d188782d8k.htm" TargetMode="External"/><Relationship Id="rId128" Type="http://schemas.openxmlformats.org/officeDocument/2006/relationships/hyperlink" Target="http://www.sec.gov/Archives/edgar/data/1437226/000119312517231348/d427172dex102.htm" TargetMode="External"/><Relationship Id="rId129" Type="http://schemas.openxmlformats.org/officeDocument/2006/relationships/hyperlink" Target="http://www.sec.gov/Archives/edgar/data/1437226/000119312517227155/d424757dex101.htm" TargetMode="External"/><Relationship Id="rId130" Type="http://schemas.openxmlformats.org/officeDocument/2006/relationships/hyperlink" Target="http://www.sec.gov/Archives/edgar/data/1437226/000119312517227155/d424757dex102.htm" TargetMode="External"/><Relationship Id="rId131" Type="http://schemas.openxmlformats.org/officeDocument/2006/relationships/hyperlink" Target="http://www.sec.gov/Archives/edgar/data/1437226/000119312519082184/d706588dex101.htm" TargetMode="External"/><Relationship Id="rId133" Type="http://schemas.openxmlformats.org/officeDocument/2006/relationships/hyperlink" Target="http://www.sec.gov/Archives/edgar/data/0001437226/000119312522073120/d305741dex101.htm" TargetMode="External"/><Relationship Id="rId134" Type="http://schemas.openxmlformats.org/officeDocument/2006/relationships/hyperlink" Target="http://www.sec.gov/Archives/edgar/data/1437226/000119312519082184/d706588dex102.htm" TargetMode="External"/><Relationship Id="rId135" Type="http://schemas.openxmlformats.org/officeDocument/2006/relationships/hyperlink" Target="http://www.sec.gov/Archives/edgar/data/0001437226/000119312522073120/d305741dex102.htm" TargetMode="External"/><Relationship Id="rId136" Type="http://schemas.openxmlformats.org/officeDocument/2006/relationships/hyperlink" Target="http://www.sec.gov/Archives/edgar/data/0001437226/000119312521079905/d118775dex102.htm" TargetMode="External"/><Relationship Id="rId137" Type="http://schemas.openxmlformats.org/officeDocument/2006/relationships/hyperlink" Target="http://www.sec.gov/Archives/edgar/data/1437226/000119312514133745/d708014dex101.htm" TargetMode="External"/><Relationship Id="rId138" Type="http://schemas.openxmlformats.org/officeDocument/2006/relationships/hyperlink" Target="http://www.sec.gov/Archives/edgar/data/1437226/000119312521154024/d113346dex104.htm" TargetMode="External"/><Relationship Id="rId139" Type="http://schemas.openxmlformats.org/officeDocument/2006/relationships/hyperlink" Target="http://www.sec.gov/Archives/edgar/data/1437226/000119312517094899/d297822dex109.htm" TargetMode="External"/><Relationship Id="rId140" Type="http://schemas.openxmlformats.org/officeDocument/2006/relationships/hyperlink" Target="http://www.sec.gov/Archives/edgar/data/1437226/000119312517094899/d297822dex1010.htm" TargetMode="External"/><Relationship Id="rId141" Type="http://schemas.openxmlformats.org/officeDocument/2006/relationships/hyperlink" Target="http://www.sec.gov/Archives/edgar/data/1437226/000119312519151767/d736344dex102.htm" TargetMode="External"/><Relationship Id="rId142" Type="http://schemas.openxmlformats.org/officeDocument/2006/relationships/hyperlink" Target="http://www.sec.gov/Archives/edgar/data/1437226/000119312517094899/d297822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2022-03-14T07:08:19Z</dcterms:created>
  <dcterms:modified xsi:type="dcterms:W3CDTF">2022-03-14T07:08:19Z</dcterms:modified>
</cp:coreProperties>
</file>