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210820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253365</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241935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600" w:right="60" w:hanging="426"/>
        <w:spacing w:after="0" w:line="251" w:lineRule="auto"/>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7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38" w:lineRule="exact"/>
        <w:rPr>
          <w:sz w:val="24"/>
          <w:szCs w:val="24"/>
          <w:color w:val="auto"/>
        </w:rPr>
      </w:pPr>
    </w:p>
    <w:p>
      <w:pPr>
        <w:ind w:left="600" w:right="40" w:hanging="426"/>
        <w:spacing w:after="0" w:line="275" w:lineRule="auto"/>
        <w:tabs>
          <w:tab w:leader="none" w:pos="6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245110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MASTECH DIGITAL, INC.</w:t>
      </w:r>
    </w:p>
    <w:p>
      <w:pPr>
        <w:spacing w:after="0" w:line="4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223520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980" w:type="dxa"/>
        <w:tblCellMar>
          <w:top w:w="0" w:type="dxa"/>
          <w:left w:w="0" w:type="dxa"/>
          <w:bottom w:w="0" w:type="dxa"/>
          <w:right w:w="0" w:type="dxa"/>
        </w:tblCellMar>
      </w:tblPr>
      <w:tr>
        <w:trPr>
          <w:trHeight w:val="209"/>
        </w:trPr>
        <w:tc>
          <w:tcPr>
            <w:tcW w:w="5400" w:type="dxa"/>
            <w:vAlign w:val="bottom"/>
          </w:tcPr>
          <w:p>
            <w:pPr>
              <w:jc w:val="center"/>
              <w:ind w:right="1420"/>
              <w:spacing w:after="0"/>
              <w:rPr>
                <w:sz w:val="20"/>
                <w:szCs w:val="20"/>
                <w:color w:val="auto"/>
              </w:rPr>
            </w:pPr>
            <w:r>
              <w:rPr>
                <w:rFonts w:ascii="Arial" w:cs="Arial" w:eastAsia="Arial" w:hAnsi="Arial"/>
                <w:sz w:val="18"/>
                <w:szCs w:val="18"/>
                <w:b w:val="1"/>
                <w:bCs w:val="1"/>
                <w:color w:val="auto"/>
                <w:w w:val="97"/>
              </w:rPr>
              <w:t>PENNSYLVANIA</w:t>
            </w:r>
          </w:p>
        </w:tc>
        <w:tc>
          <w:tcPr>
            <w:tcW w:w="2600" w:type="dxa"/>
            <w:vAlign w:val="bottom"/>
          </w:tcPr>
          <w:p>
            <w:pPr>
              <w:jc w:val="right"/>
              <w:ind w:right="42"/>
              <w:spacing w:after="0"/>
              <w:rPr>
                <w:sz w:val="20"/>
                <w:szCs w:val="20"/>
                <w:color w:val="auto"/>
              </w:rPr>
            </w:pPr>
            <w:r>
              <w:rPr>
                <w:rFonts w:ascii="Arial" w:cs="Arial" w:eastAsia="Arial" w:hAnsi="Arial"/>
                <w:sz w:val="18"/>
                <w:szCs w:val="18"/>
                <w:b w:val="1"/>
                <w:bCs w:val="1"/>
                <w:color w:val="auto"/>
              </w:rPr>
              <w:t>26-2753540</w:t>
            </w:r>
          </w:p>
        </w:tc>
      </w:tr>
      <w:tr>
        <w:trPr>
          <w:trHeight w:val="147"/>
        </w:trPr>
        <w:tc>
          <w:tcPr>
            <w:tcW w:w="5400" w:type="dxa"/>
            <w:vAlign w:val="bottom"/>
          </w:tcPr>
          <w:p>
            <w:pPr>
              <w:jc w:val="center"/>
              <w:ind w:right="1420"/>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2600" w:type="dxa"/>
            <w:vAlign w:val="bottom"/>
          </w:tcPr>
          <w:p>
            <w:pPr>
              <w:jc w:val="center"/>
              <w:ind w:left="1422"/>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5400" w:type="dxa"/>
            <w:vAlign w:val="bottom"/>
          </w:tcPr>
          <w:p>
            <w:pPr>
              <w:jc w:val="center"/>
              <w:ind w:right="1420"/>
              <w:spacing w:after="0"/>
              <w:rPr>
                <w:sz w:val="20"/>
                <w:szCs w:val="20"/>
                <w:color w:val="auto"/>
              </w:rPr>
            </w:pPr>
            <w:r>
              <w:rPr>
                <w:rFonts w:ascii="Arial" w:cs="Arial" w:eastAsia="Arial" w:hAnsi="Arial"/>
                <w:sz w:val="14"/>
                <w:szCs w:val="14"/>
                <w:b w:val="1"/>
                <w:bCs w:val="1"/>
                <w:color w:val="auto"/>
                <w:w w:val="93"/>
              </w:rPr>
              <w:t>incorporation or organization)</w:t>
            </w:r>
          </w:p>
        </w:tc>
        <w:tc>
          <w:tcPr>
            <w:tcW w:w="2600" w:type="dxa"/>
            <w:vAlign w:val="bottom"/>
          </w:tcPr>
          <w:p>
            <w:pPr>
              <w:jc w:val="center"/>
              <w:ind w:left="1422"/>
              <w:spacing w:after="0"/>
              <w:rPr>
                <w:sz w:val="20"/>
                <w:szCs w:val="20"/>
                <w:color w:val="auto"/>
              </w:rPr>
            </w:pPr>
            <w:r>
              <w:rPr>
                <w:rFonts w:ascii="Arial" w:cs="Arial" w:eastAsia="Arial" w:hAnsi="Arial"/>
                <w:sz w:val="14"/>
                <w:szCs w:val="14"/>
                <w:b w:val="1"/>
                <w:bCs w:val="1"/>
                <w:color w:val="auto"/>
                <w:w w:val="92"/>
              </w:rPr>
              <w:t>Identification No.)</w:t>
            </w:r>
          </w:p>
        </w:tc>
      </w:tr>
      <w:tr>
        <w:trPr>
          <w:trHeight w:val="434"/>
        </w:trPr>
        <w:tc>
          <w:tcPr>
            <w:tcW w:w="5400" w:type="dxa"/>
            <w:vAlign w:val="bottom"/>
          </w:tcPr>
          <w:p>
            <w:pPr>
              <w:jc w:val="center"/>
              <w:ind w:right="1420"/>
              <w:spacing w:after="0"/>
              <w:rPr>
                <w:sz w:val="20"/>
                <w:szCs w:val="20"/>
                <w:color w:val="auto"/>
              </w:rPr>
            </w:pPr>
            <w:r>
              <w:rPr>
                <w:rFonts w:ascii="Arial" w:cs="Arial" w:eastAsia="Arial" w:hAnsi="Arial"/>
                <w:sz w:val="18"/>
                <w:szCs w:val="18"/>
                <w:b w:val="1"/>
                <w:bCs w:val="1"/>
                <w:color w:val="auto"/>
                <w:w w:val="90"/>
              </w:rPr>
              <w:t>1305 Cherrington Parkway, Building 210, Suite 400</w:t>
            </w:r>
          </w:p>
        </w:tc>
        <w:tc>
          <w:tcPr>
            <w:tcW w:w="2600" w:type="dxa"/>
            <w:vAlign w:val="bottom"/>
          </w:tcPr>
          <w:p>
            <w:pPr>
              <w:spacing w:after="0"/>
              <w:rPr>
                <w:sz w:val="24"/>
                <w:szCs w:val="24"/>
                <w:color w:val="auto"/>
              </w:rPr>
            </w:pPr>
          </w:p>
        </w:tc>
      </w:tr>
      <w:tr>
        <w:trPr>
          <w:trHeight w:val="223"/>
        </w:trPr>
        <w:tc>
          <w:tcPr>
            <w:tcW w:w="5400" w:type="dxa"/>
            <w:vAlign w:val="bottom"/>
          </w:tcPr>
          <w:p>
            <w:pPr>
              <w:jc w:val="center"/>
              <w:ind w:right="1440"/>
              <w:spacing w:after="0"/>
              <w:rPr>
                <w:sz w:val="20"/>
                <w:szCs w:val="20"/>
                <w:color w:val="auto"/>
              </w:rPr>
            </w:pPr>
            <w:r>
              <w:rPr>
                <w:rFonts w:ascii="Arial" w:cs="Arial" w:eastAsia="Arial" w:hAnsi="Arial"/>
                <w:sz w:val="18"/>
                <w:szCs w:val="18"/>
                <w:b w:val="1"/>
                <w:bCs w:val="1"/>
                <w:color w:val="auto"/>
                <w:w w:val="88"/>
              </w:rPr>
              <w:t>Moon Township, Pennsylvania</w:t>
            </w:r>
          </w:p>
        </w:tc>
        <w:tc>
          <w:tcPr>
            <w:tcW w:w="2600" w:type="dxa"/>
            <w:vAlign w:val="bottom"/>
          </w:tcPr>
          <w:p>
            <w:pPr>
              <w:jc w:val="right"/>
              <w:ind w:right="242"/>
              <w:spacing w:after="0"/>
              <w:rPr>
                <w:sz w:val="20"/>
                <w:szCs w:val="20"/>
                <w:color w:val="auto"/>
              </w:rPr>
            </w:pPr>
            <w:r>
              <w:rPr>
                <w:rFonts w:ascii="Arial" w:cs="Arial" w:eastAsia="Arial" w:hAnsi="Arial"/>
                <w:sz w:val="18"/>
                <w:szCs w:val="18"/>
                <w:b w:val="1"/>
                <w:bCs w:val="1"/>
                <w:color w:val="auto"/>
              </w:rPr>
              <w:t>15108</w:t>
            </w:r>
          </w:p>
        </w:tc>
      </w:tr>
      <w:tr>
        <w:trPr>
          <w:trHeight w:val="185"/>
        </w:trPr>
        <w:tc>
          <w:tcPr>
            <w:tcW w:w="5400" w:type="dxa"/>
            <w:vAlign w:val="bottom"/>
          </w:tcPr>
          <w:p>
            <w:pPr>
              <w:jc w:val="center"/>
              <w:ind w:right="144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600" w:type="dxa"/>
            <w:vAlign w:val="bottom"/>
          </w:tcPr>
          <w:p>
            <w:pPr>
              <w:jc w:val="center"/>
              <w:ind w:left="1422"/>
              <w:spacing w:after="0"/>
              <w:rPr>
                <w:sz w:val="20"/>
                <w:szCs w:val="20"/>
                <w:color w:val="auto"/>
              </w:rPr>
            </w:pPr>
            <w:r>
              <w:rPr>
                <w:rFonts w:ascii="Arial" w:cs="Arial" w:eastAsia="Arial" w:hAnsi="Arial"/>
                <w:sz w:val="14"/>
                <w:szCs w:val="14"/>
                <w:b w:val="1"/>
                <w:bCs w:val="1"/>
                <w:color w:val="auto"/>
                <w:w w:val="95"/>
              </w:rPr>
              <w:t>(Zip Code)</w:t>
            </w:r>
          </w:p>
        </w:tc>
      </w:tr>
    </w:tbl>
    <w:p>
      <w:pPr>
        <w:spacing w:after="0" w:line="18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236220</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4000" w:type="dxa"/>
            <w:vAlign w:val="bottom"/>
            <w:gridSpan w:val="3"/>
          </w:tcPr>
          <w:p>
            <w:pPr>
              <w:jc w:val="center"/>
              <w:ind w:left="2503"/>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3960" w:type="dxa"/>
            <w:vAlign w:val="bottom"/>
            <w:gridSpan w:val="2"/>
          </w:tcPr>
          <w:p>
            <w:pPr>
              <w:jc w:val="center"/>
              <w:ind w:right="2880"/>
              <w:spacing w:after="0" w:line="150" w:lineRule="exact"/>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Symbol(s)</w:t>
            </w:r>
          </w:p>
        </w:tc>
        <w:tc>
          <w:tcPr>
            <w:tcW w:w="4000" w:type="dxa"/>
            <w:vAlign w:val="bottom"/>
            <w:gridSpan w:val="3"/>
          </w:tcPr>
          <w:p>
            <w:pPr>
              <w:jc w:val="center"/>
              <w:ind w:left="2503"/>
              <w:spacing w:after="0" w:line="150" w:lineRule="exact"/>
              <w:rPr>
                <w:sz w:val="20"/>
                <w:szCs w:val="20"/>
                <w:color w:val="auto"/>
              </w:rPr>
            </w:pPr>
            <w:r>
              <w:rPr>
                <w:rFonts w:ascii="Arial" w:cs="Arial" w:eastAsia="Arial" w:hAnsi="Arial"/>
                <w:sz w:val="14"/>
                <w:szCs w:val="14"/>
                <w:b w:val="1"/>
                <w:bCs w:val="1"/>
                <w:color w:val="auto"/>
                <w:w w:val="89"/>
              </w:rPr>
              <w:t>on which registered</w:t>
            </w:r>
          </w:p>
        </w:tc>
        <w:tc>
          <w:tcPr>
            <w:tcW w:w="0" w:type="dxa"/>
            <w:vAlign w:val="bottom"/>
          </w:tcPr>
          <w:p>
            <w:pPr>
              <w:spacing w:after="0"/>
              <w:rPr>
                <w:sz w:val="1"/>
                <w:szCs w:val="1"/>
                <w:color w:val="auto"/>
              </w:rPr>
            </w:pPr>
          </w:p>
        </w:tc>
      </w:tr>
      <w:tr>
        <w:trPr>
          <w:trHeight w:val="20"/>
        </w:trPr>
        <w:tc>
          <w:tcPr>
            <w:tcW w:w="496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MHH</w:t>
            </w:r>
          </w:p>
        </w:tc>
        <w:tc>
          <w:tcPr>
            <w:tcW w:w="4000" w:type="dxa"/>
            <w:vAlign w:val="bottom"/>
            <w:gridSpan w:val="3"/>
            <w:vMerge w:val="restart"/>
          </w:tcPr>
          <w:p>
            <w:pPr>
              <w:jc w:val="center"/>
              <w:ind w:left="2503"/>
              <w:spacing w:after="0"/>
              <w:rPr>
                <w:sz w:val="20"/>
                <w:szCs w:val="20"/>
                <w:color w:val="auto"/>
              </w:rPr>
            </w:pPr>
            <w:r>
              <w:rPr>
                <w:rFonts w:ascii="Arial" w:cs="Arial" w:eastAsia="Arial" w:hAnsi="Arial"/>
                <w:sz w:val="18"/>
                <w:szCs w:val="18"/>
                <w:b w:val="1"/>
                <w:bCs w:val="1"/>
                <w:color w:val="auto"/>
                <w:w w:val="92"/>
              </w:rPr>
              <w:t>NYSE American</w:t>
            </w:r>
          </w:p>
        </w:tc>
        <w:tc>
          <w:tcPr>
            <w:tcW w:w="0" w:type="dxa"/>
            <w:vAlign w:val="bottom"/>
          </w:tcPr>
          <w:p>
            <w:pPr>
              <w:spacing w:after="0" w:line="20" w:lineRule="exact"/>
              <w:rPr>
                <w:sz w:val="1"/>
                <w:szCs w:val="1"/>
                <w:color w:val="auto"/>
              </w:rPr>
            </w:pPr>
          </w:p>
        </w:tc>
      </w:tr>
      <w:tr>
        <w:trPr>
          <w:trHeight w:val="211"/>
        </w:trPr>
        <w:tc>
          <w:tcPr>
            <w:tcW w:w="496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89"/>
              </w:rPr>
              <w:t>Common Stock, par value $.01 per share</w:t>
            </w:r>
          </w:p>
        </w:tc>
        <w:tc>
          <w:tcPr>
            <w:tcW w:w="600" w:type="dxa"/>
            <w:vAlign w:val="bottom"/>
            <w:vMerge w:val="continue"/>
          </w:tcPr>
          <w:p>
            <w:pPr>
              <w:spacing w:after="0"/>
              <w:rPr>
                <w:sz w:val="18"/>
                <w:szCs w:val="18"/>
                <w:color w:val="auto"/>
              </w:rPr>
            </w:pPr>
          </w:p>
        </w:tc>
        <w:tc>
          <w:tcPr>
            <w:tcW w:w="4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209550</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3" w:lineRule="exact"/>
        <w:rPr>
          <w:sz w:val="24"/>
          <w:szCs w:val="24"/>
          <w:color w:val="auto"/>
        </w:rPr>
      </w:pPr>
    </w:p>
    <w:p>
      <w:pPr>
        <w:ind w:left="180" w:right="240"/>
        <w:spacing w:after="0" w:line="224"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80" w:right="140" w:firstLine="43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80" w:right="40" w:firstLine="43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9" w:lineRule="exact"/>
        <w:rPr>
          <w:sz w:val="24"/>
          <w:szCs w:val="24"/>
          <w:color w:val="auto"/>
        </w:rPr>
      </w:pPr>
    </w:p>
    <w:tbl>
      <w:tblPr>
        <w:tblLayout w:type="fixed"/>
        <w:tblInd w:w="180" w:type="dxa"/>
        <w:tblCellMar>
          <w:top w:w="0" w:type="dxa"/>
          <w:left w:w="0" w:type="dxa"/>
          <w:bottom w:w="0" w:type="dxa"/>
          <w:right w:w="0" w:type="dxa"/>
        </w:tblCellMar>
      </w:tblPr>
      <w:tr>
        <w:trPr>
          <w:trHeight w:val="279"/>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Arial" w:cs="Arial" w:eastAsia="Arial" w:hAnsi="Arial"/>
                <w:sz w:val="18"/>
                <w:szCs w:val="18"/>
                <w:color w:val="auto"/>
                <w:w w:val="98"/>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1" w:lineRule="exact"/>
        <w:rPr>
          <w:sz w:val="24"/>
          <w:szCs w:val="24"/>
          <w:color w:val="auto"/>
        </w:rPr>
      </w:pPr>
    </w:p>
    <w:p>
      <w:pPr>
        <w:ind w:left="180" w:right="120" w:firstLine="436"/>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00"/>
        <w:spacing w:after="0" w:line="207" w:lineRule="exact"/>
        <w:tabs>
          <w:tab w:leader="none" w:pos="8840" w:val="left"/>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040"/>
          </w:cols>
          <w:pgMar w:left="320" w:top="229" w:right="539" w:bottom="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The number of shares of the registrant’s Common Stock, par value $.01 per share, outstanding as of July 30, 2021 was 11,438,013.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229235</wp:posOffset>
            </wp:positionV>
            <wp:extent cx="692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9959"/>
          </w:cols>
          <w:pgMar w:left="50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MASTECH DIGITAL,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QUARTERLY REPORT ON FORM 10-Q</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QUARTER ENDED JUNE 30, 2021</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80" w:type="dxa"/>
            <w:vAlign w:val="bottom"/>
            <w:vMerge w:val="restart"/>
          </w:tcPr>
          <w:p>
            <w:pPr>
              <w:spacing w:after="0"/>
              <w:rPr>
                <w:sz w:val="20"/>
                <w:szCs w:val="20"/>
                <w:color w:val="auto"/>
              </w:rPr>
            </w:pPr>
            <w:r>
              <w:rPr>
                <w:rFonts w:ascii="Arial" w:cs="Arial" w:eastAsia="Arial" w:hAnsi="Arial"/>
                <w:sz w:val="18"/>
                <w:szCs w:val="18"/>
                <w:color w:val="auto"/>
              </w:rPr>
              <w:t>PART 1</w:t>
            </w:r>
          </w:p>
        </w:tc>
        <w:tc>
          <w:tcPr>
            <w:tcW w:w="2240" w:type="dxa"/>
            <w:vAlign w:val="bottom"/>
            <w:gridSpan w:val="9"/>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FINANCIAL INFORMATION</w:t>
              </w:r>
            </w:hyperlink>
          </w:p>
        </w:tc>
        <w:tc>
          <w:tcPr>
            <w:tcW w:w="7940" w:type="dxa"/>
            <w:vAlign w:val="bottom"/>
            <w:gridSpan w:val="10"/>
            <w:vMerge w:val="restart"/>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9"/>
        </w:trPr>
        <w:tc>
          <w:tcPr>
            <w:tcW w:w="680" w:type="dxa"/>
            <w:vAlign w:val="bottom"/>
            <w:vMerge w:val="continue"/>
          </w:tcPr>
          <w:p>
            <w:pPr>
              <w:spacing w:after="0"/>
              <w:rPr>
                <w:sz w:val="13"/>
                <w:szCs w:val="13"/>
                <w:color w:val="auto"/>
              </w:rPr>
            </w:pPr>
          </w:p>
        </w:tc>
        <w:tc>
          <w:tcPr>
            <w:tcW w:w="2240" w:type="dxa"/>
            <w:vAlign w:val="bottom"/>
            <w:tcBorders>
              <w:bottom w:val="single" w:sz="8" w:color="0000EE"/>
            </w:tcBorders>
            <w:gridSpan w:val="9"/>
            <w:vMerge w:val="continue"/>
          </w:tcPr>
          <w:p>
            <w:pPr>
              <w:spacing w:after="0"/>
              <w:rPr>
                <w:sz w:val="13"/>
                <w:szCs w:val="13"/>
                <w:color w:val="auto"/>
              </w:rPr>
            </w:pPr>
          </w:p>
        </w:tc>
        <w:tc>
          <w:tcPr>
            <w:tcW w:w="7940" w:type="dxa"/>
            <w:vAlign w:val="bottom"/>
            <w:gridSpan w:val="10"/>
            <w:vMerge w:val="continue"/>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4"/>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101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auto"/>
                <w:w w:val="98"/>
              </w:rPr>
            </w:pPr>
            <w:r>
              <w:rPr>
                <w:rFonts w:ascii="Arial" w:cs="Arial" w:eastAsia="Arial" w:hAnsi="Arial"/>
                <w:sz w:val="18"/>
                <w:szCs w:val="18"/>
                <w:color w:val="auto"/>
                <w:w w:val="98"/>
              </w:rPr>
              <w:t xml:space="preserve">(a) </w:t>
            </w:r>
            <w:hyperlink w:anchor="page4">
              <w:r>
                <w:rPr>
                  <w:rFonts w:ascii="Arial" w:cs="Arial" w:eastAsia="Arial" w:hAnsi="Arial"/>
                  <w:sz w:val="18"/>
                  <w:szCs w:val="18"/>
                  <w:color w:val="0000EE"/>
                  <w:w w:val="98"/>
                </w:rPr>
                <w:t>Condensed Consolidated Statements of Operations (Unaudited) for the Three and Six Months Ended June 30, 2021 and 2020</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auto"/>
                <w:w w:val="89"/>
              </w:rPr>
            </w:pPr>
            <w:r>
              <w:rPr>
                <w:rFonts w:ascii="Arial" w:cs="Arial" w:eastAsia="Arial" w:hAnsi="Arial"/>
                <w:sz w:val="18"/>
                <w:szCs w:val="18"/>
                <w:color w:val="auto"/>
                <w:w w:val="89"/>
              </w:rPr>
              <w:t xml:space="preserve">(b) </w:t>
            </w:r>
            <w:hyperlink w:anchor="page5">
              <w:r>
                <w:rPr>
                  <w:rFonts w:ascii="Arial" w:cs="Arial" w:eastAsia="Arial" w:hAnsi="Arial"/>
                  <w:sz w:val="18"/>
                  <w:szCs w:val="18"/>
                  <w:color w:val="0000EE"/>
                  <w:w w:val="89"/>
                </w:rPr>
                <w:t>Condensed Consolidated Statements of Comprehensive Income (Unaudited) for the Three and Six Months Ended June 30, 2021 and 2020</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6">
              <w:r>
                <w:rPr>
                  <w:rFonts w:ascii="Arial" w:cs="Arial" w:eastAsia="Arial" w:hAnsi="Arial"/>
                  <w:sz w:val="18"/>
                  <w:szCs w:val="18"/>
                  <w:color w:val="0000EE"/>
                </w:rPr>
                <w:t>Condensed Consolidated Balance Sheets (Unaudited) as of June 30, 2021 and December 31, 2020</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(d) </w:t>
            </w:r>
            <w:hyperlink w:anchor="page7">
              <w:r>
                <w:rPr>
                  <w:rFonts w:ascii="Arial" w:cs="Arial" w:eastAsia="Arial" w:hAnsi="Arial"/>
                  <w:sz w:val="18"/>
                  <w:szCs w:val="18"/>
                  <w:color w:val="0000EE"/>
                  <w:w w:val="91"/>
                </w:rPr>
                <w:t>Condensed Consolidated Statements of Shareholders’ Equity (Unaudited) for the Three and Six Months Ended June 30, 2021 and 2020</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8">
              <w:r>
                <w:rPr>
                  <w:rFonts w:ascii="Arial" w:cs="Arial" w:eastAsia="Arial" w:hAnsi="Arial"/>
                  <w:sz w:val="18"/>
                  <w:szCs w:val="18"/>
                  <w:color w:val="0000EE"/>
                </w:rPr>
                <w:t>Condensed Consolidated Statements of Cash Flows (Unaudited) for the Six Months Ended June 30, 2021 and 2020</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9">
              <w:r>
                <w:rPr>
                  <w:rFonts w:ascii="Arial" w:cs="Arial" w:eastAsia="Arial" w:hAnsi="Arial"/>
                  <w:sz w:val="18"/>
                  <w:szCs w:val="18"/>
                  <w:color w:val="0000EE"/>
                </w:rPr>
                <w:t>Notes to Condensed Consolidated Financial Statements (Unaudited)</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780" w:type="dxa"/>
            <w:vAlign w:val="bottom"/>
            <w:gridSpan w:val="6"/>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1"/>
        </w:trPr>
        <w:tc>
          <w:tcPr>
            <w:tcW w:w="680" w:type="dxa"/>
            <w:vAlign w:val="bottom"/>
          </w:tcPr>
          <w:p>
            <w:pPr>
              <w:spacing w:after="0"/>
              <w:rPr>
                <w:sz w:val="20"/>
                <w:szCs w:val="20"/>
                <w:color w:val="auto"/>
              </w:rPr>
            </w:pPr>
            <w:r>
              <w:rPr>
                <w:rFonts w:ascii="Arial" w:cs="Arial" w:eastAsia="Arial" w:hAnsi="Arial"/>
                <w:sz w:val="18"/>
                <w:szCs w:val="18"/>
                <w:color w:val="auto"/>
              </w:rPr>
              <w:t>Item 3.</w:t>
            </w:r>
          </w:p>
        </w:tc>
        <w:tc>
          <w:tcPr>
            <w:tcW w:w="101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1"/>
        </w:trPr>
        <w:tc>
          <w:tcPr>
            <w:tcW w:w="68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Controls and Procedures</w:t>
              </w:r>
            </w:hyperlink>
          </w:p>
        </w:tc>
        <w:tc>
          <w:tcPr>
            <w:tcW w:w="2560" w:type="dxa"/>
            <w:vAlign w:val="bottom"/>
            <w:tcBorders>
              <w:top w:val="single" w:sz="8" w:color="0000EE"/>
            </w:tcBorders>
            <w:gridSpan w:val="4"/>
          </w:tcPr>
          <w:p>
            <w:pPr>
              <w:spacing w:after="0"/>
              <w:rPr>
                <w:sz w:val="24"/>
                <w:szCs w:val="24"/>
                <w:color w:val="auto"/>
              </w:rPr>
            </w:pPr>
          </w:p>
        </w:tc>
        <w:tc>
          <w:tcPr>
            <w:tcW w:w="5860" w:type="dxa"/>
            <w:vAlign w:val="bottom"/>
            <w:gridSpan w:val="8"/>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1"/>
        </w:trPr>
        <w:tc>
          <w:tcPr>
            <w:tcW w:w="680" w:type="dxa"/>
            <w:vAlign w:val="bottom"/>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OTHER INFORMATION</w:t>
              </w:r>
            </w:hyperlink>
          </w:p>
        </w:tc>
        <w:tc>
          <w:tcPr>
            <w:tcW w:w="8300" w:type="dxa"/>
            <w:vAlign w:val="bottom"/>
            <w:gridSpan w:val="11"/>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1"/>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1018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1"/>
        </w:trPr>
        <w:tc>
          <w:tcPr>
            <w:tcW w:w="680" w:type="dxa"/>
            <w:vAlign w:val="bottom"/>
          </w:tcPr>
          <w:p>
            <w:pPr>
              <w:spacing w:after="0"/>
              <w:rPr>
                <w:sz w:val="20"/>
                <w:szCs w:val="20"/>
                <w:color w:val="auto"/>
              </w:rPr>
            </w:pPr>
            <w:r>
              <w:rPr>
                <w:rFonts w:ascii="Arial" w:cs="Arial" w:eastAsia="Arial" w:hAnsi="Arial"/>
                <w:sz w:val="18"/>
                <w:szCs w:val="18"/>
                <w:color w:val="auto"/>
                <w:w w:val="98"/>
              </w:rPr>
              <w:t>Item 1A.</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8860" w:type="dxa"/>
            <w:vAlign w:val="bottom"/>
            <w:gridSpan w:val="14"/>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1"/>
        </w:trPr>
        <w:tc>
          <w:tcPr>
            <w:tcW w:w="680" w:type="dxa"/>
            <w:vAlign w:val="bottom"/>
          </w:tcPr>
          <w:p>
            <w:pPr>
              <w:spacing w:after="0"/>
              <w:rPr>
                <w:sz w:val="20"/>
                <w:szCs w:val="20"/>
                <w:color w:val="auto"/>
              </w:rPr>
            </w:pPr>
            <w:r>
              <w:rPr>
                <w:rFonts w:ascii="Arial" w:cs="Arial" w:eastAsia="Arial" w:hAnsi="Arial"/>
                <w:sz w:val="18"/>
                <w:szCs w:val="18"/>
                <w:color w:val="auto"/>
              </w:rPr>
              <w:t>Item 6.</w:t>
            </w:r>
          </w:p>
        </w:tc>
        <w:tc>
          <w:tcPr>
            <w:tcW w:w="4300" w:type="dxa"/>
            <w:vAlign w:val="bottom"/>
            <w:tcBorders>
              <w:top w:val="single" w:sz="8" w:color="0000EE"/>
            </w:tcBorders>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5880" w:type="dxa"/>
            <w:vAlign w:val="bottom"/>
            <w:gridSpan w:val="9"/>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80" w:type="dxa"/>
            <w:vAlign w:val="bottom"/>
            <w:gridSpan w:val="1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9080" w:type="dxa"/>
            <w:vAlign w:val="bottom"/>
            <w:gridSpan w:val="15"/>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79"/>
        </w:trPr>
        <w:tc>
          <w:tcPr>
            <w:tcW w:w="680" w:type="dxa"/>
            <w:vAlign w:val="bottom"/>
          </w:tcPr>
          <w:p>
            <w:pPr>
              <w:spacing w:after="0"/>
              <w:rPr>
                <w:sz w:val="24"/>
                <w:szCs w:val="24"/>
                <w:color w:val="auto"/>
              </w:rPr>
            </w:pPr>
          </w:p>
        </w:tc>
        <w:tc>
          <w:tcPr>
            <w:tcW w:w="5180" w:type="dxa"/>
            <w:vAlign w:val="bottom"/>
            <w:gridSpan w:val="12"/>
          </w:tcPr>
          <w:p>
            <w:pPr>
              <w:ind w:left="472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8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 FINANCIAL INFORMATION</w:t>
      </w:r>
    </w:p>
    <w:p>
      <w:pPr>
        <w:spacing w:after="0" w:line="247"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19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53,658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98,008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Cost of revenues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39,343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34,927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72,633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Revaluation of contingent consideration liability</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(1,982)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Income from operations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76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Basic</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11,442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12,002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82"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3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3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auto"/>
            </w:tcBorders>
          </w:tcPr>
          <w:p>
            <w:pPr>
              <w:jc w:val="right"/>
              <w:ind w:right="56"/>
              <w:spacing w:after="0" w:line="154"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73"/>
              <w:spacing w:after="0" w:line="154"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ind w:right="20"/>
              <w:spacing w:after="0" w:line="154"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ind w:right="31"/>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$ 3,738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$4,932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 (loss) on interest-rate swap contracts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(114)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pretax net unrealized (loss)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net of taxes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0"/>
        </w:trPr>
        <w:tc>
          <w:tcPr>
            <w:tcW w:w="80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$ 3,643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4,844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82"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2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0"/>
        </w:trPr>
        <w:tc>
          <w:tcPr>
            <w:tcW w:w="8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7"/>
        </w:trPr>
        <w:tc>
          <w:tcPr>
            <w:tcW w:w="896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uncollectible accounts of $393 in 2021 and $413 in 2020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22,036</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shd w:val="clear" w:color="auto" w:fill="CCEEFF"/>
          </w:tcPr>
          <w:p>
            <w:pPr>
              <w:spacing w:after="0"/>
              <w:rPr>
                <w:sz w:val="18"/>
                <w:szCs w:val="18"/>
                <w:color w:val="auto"/>
              </w:rPr>
            </w:pPr>
          </w:p>
        </w:tc>
      </w:tr>
      <w:tr>
        <w:trPr>
          <w:trHeight w:val="220"/>
        </w:trPr>
        <w:tc>
          <w:tcPr>
            <w:tcW w:w="896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41,157</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spacing w:after="0"/>
              <w:rPr>
                <w:sz w:val="20"/>
                <w:szCs w:val="20"/>
                <w:color w:val="auto"/>
              </w:rPr>
            </w:pPr>
            <w:r>
              <w:rPr>
                <w:rFonts w:ascii="Arial" w:cs="Arial" w:eastAsia="Arial" w:hAnsi="Arial"/>
                <w:sz w:val="18"/>
                <w:szCs w:val="18"/>
                <w:color w:val="auto"/>
              </w:rPr>
              <w:t>Equipment, enterprise software, and leasehold improvements, at cost: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ind w:left="360"/>
              <w:spacing w:after="0"/>
              <w:rPr>
                <w:sz w:val="20"/>
                <w:szCs w:val="20"/>
                <w:color w:val="auto"/>
              </w:rPr>
            </w:pPr>
            <w:r>
              <w:rPr>
                <w:rFonts w:ascii="Arial" w:cs="Arial" w:eastAsia="Arial" w:hAnsi="Arial"/>
                <w:sz w:val="18"/>
                <w:szCs w:val="18"/>
                <w:color w:val="auto"/>
              </w:rPr>
              <w:t>Enterprise software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r>
      <w:tr>
        <w:trPr>
          <w:trHeight w:val="220"/>
        </w:trPr>
        <w:tc>
          <w:tcPr>
            <w:tcW w:w="8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 accumulated 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(3,253)</w:t>
            </w:r>
          </w:p>
        </w:tc>
      </w:tr>
      <w:tr>
        <w:trPr>
          <w:trHeight w:val="220"/>
        </w:trPr>
        <w:tc>
          <w:tcPr>
            <w:tcW w:w="8960" w:type="dxa"/>
            <w:vAlign w:val="bottom"/>
          </w:tcPr>
          <w:p>
            <w:pPr>
              <w:spacing w:after="0"/>
              <w:rPr>
                <w:sz w:val="20"/>
                <w:szCs w:val="20"/>
                <w:color w:val="auto"/>
              </w:rPr>
            </w:pPr>
            <w:r>
              <w:rPr>
                <w:rFonts w:ascii="Arial" w:cs="Arial" w:eastAsia="Arial" w:hAnsi="Arial"/>
                <w:sz w:val="18"/>
                <w:szCs w:val="18"/>
                <w:color w:val="auto"/>
              </w:rPr>
              <w:t>Net equipment, enterprise software, and leasehold improvements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9"/>
                <w:szCs w:val="19"/>
                <w:color w:val="auto"/>
              </w:rPr>
            </w:pPr>
          </w:p>
        </w:tc>
      </w:tr>
      <w:tr>
        <w:trPr>
          <w:trHeight w:val="214"/>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Non-current deposits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spacing w:after="0"/>
              <w:rPr>
                <w:sz w:val="20"/>
                <w:szCs w:val="20"/>
                <w:color w:val="auto"/>
              </w:rPr>
            </w:pPr>
            <w:r>
              <w:rPr>
                <w:rFonts w:ascii="Arial" w:cs="Arial" w:eastAsia="Arial" w:hAnsi="Arial"/>
                <w:sz w:val="18"/>
                <w:szCs w:val="18"/>
                <w:color w:val="auto"/>
              </w:rPr>
              <w:t>Goodwill, net of impairment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amortization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w:t>
            </w:r>
          </w:p>
        </w:tc>
        <w:tc>
          <w:tcPr>
            <w:tcW w:w="100" w:type="dxa"/>
            <w:vAlign w:val="bottom"/>
            <w:shd w:val="clear" w:color="auto" w:fill="CCEEFF"/>
          </w:tcPr>
          <w:p>
            <w:pPr>
              <w:spacing w:after="0"/>
              <w:rPr>
                <w:sz w:val="18"/>
                <w:szCs w:val="18"/>
                <w:color w:val="auto"/>
              </w:rPr>
            </w:pPr>
          </w:p>
        </w:tc>
      </w:tr>
      <w:tr>
        <w:trPr>
          <w:trHeight w:val="220"/>
        </w:trPr>
        <w:tc>
          <w:tcPr>
            <w:tcW w:w="89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108,696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102,046</w:t>
            </w:r>
          </w:p>
        </w:tc>
        <w:tc>
          <w:tcPr>
            <w:tcW w:w="10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960" w:type="dxa"/>
            <w:vAlign w:val="bottom"/>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8"/>
                <w:szCs w:val="18"/>
                <w:color w:val="auto"/>
              </w:rPr>
            </w:pPr>
          </w:p>
        </w:tc>
      </w:tr>
      <w:tr>
        <w:trPr>
          <w:trHeight w:val="220"/>
        </w:trPr>
        <w:tc>
          <w:tcPr>
            <w:tcW w:w="89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21,971</w:t>
            </w:r>
          </w:p>
        </w:tc>
        <w:tc>
          <w:tcPr>
            <w:tcW w:w="100" w:type="dxa"/>
            <w:vAlign w:val="bottom"/>
            <w:shd w:val="clear" w:color="auto" w:fill="CCEEFF"/>
          </w:tcPr>
          <w:p>
            <w:pPr>
              <w:spacing w:after="0"/>
              <w:rPr>
                <w:sz w:val="18"/>
                <w:szCs w:val="18"/>
                <w:color w:val="auto"/>
              </w:rPr>
            </w:pPr>
          </w:p>
        </w:tc>
      </w:tr>
      <w:tr>
        <w:trPr>
          <w:trHeight w:val="220"/>
        </w:trPr>
        <w:tc>
          <w:tcPr>
            <w:tcW w:w="896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ind w:left="360"/>
              <w:spacing w:after="0"/>
              <w:rPr>
                <w:sz w:val="20"/>
                <w:szCs w:val="20"/>
                <w:color w:val="auto"/>
              </w:rPr>
            </w:pPr>
            <w:r>
              <w:rPr>
                <w:rFonts w:ascii="Arial" w:cs="Arial" w:eastAsia="Arial" w:hAnsi="Arial"/>
                <w:sz w:val="18"/>
                <w:szCs w:val="18"/>
                <w:color w:val="auto"/>
              </w:rPr>
              <w:t>Contingent consideration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 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ind w:left="360"/>
              <w:spacing w:after="0"/>
              <w:rPr>
                <w:sz w:val="20"/>
                <w:szCs w:val="20"/>
                <w:color w:val="auto"/>
              </w:rPr>
            </w:pPr>
            <w:r>
              <w:rPr>
                <w:rFonts w:ascii="Arial" w:cs="Arial" w:eastAsia="Arial" w:hAnsi="Arial"/>
                <w:sz w:val="18"/>
                <w:szCs w:val="18"/>
                <w:color w:val="auto"/>
              </w:rPr>
              <w:t>Long-term accrued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payroll tax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8"/>
                <w:szCs w:val="18"/>
                <w:color w:val="auto"/>
              </w:rPr>
            </w:pPr>
          </w:p>
        </w:tc>
      </w:tr>
      <w:tr>
        <w:trPr>
          <w:trHeight w:val="220"/>
        </w:trPr>
        <w:tc>
          <w:tcPr>
            <w:tcW w:w="89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42,655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42,513</w:t>
            </w:r>
          </w:p>
        </w:tc>
        <w:tc>
          <w:tcPr>
            <w:tcW w:w="100" w:type="dxa"/>
            <w:vAlign w:val="bottom"/>
          </w:tcPr>
          <w:p>
            <w:pPr>
              <w:spacing w:after="0"/>
              <w:rPr>
                <w:sz w:val="19"/>
                <w:szCs w:val="19"/>
                <w:color w:val="auto"/>
              </w:rPr>
            </w:pPr>
          </w:p>
        </w:tc>
      </w:tr>
      <w:tr>
        <w:trPr>
          <w:trHeight w:val="214"/>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no par value; 20,000,000 shares authorized; none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199"/>
        </w:trPr>
        <w:tc>
          <w:tcPr>
            <w:tcW w:w="8960" w:type="dxa"/>
            <w:vAlign w:val="bottom"/>
          </w:tcPr>
          <w:p>
            <w:pPr>
              <w:ind w:left="360"/>
              <w:spacing w:after="0" w:line="200" w:lineRule="exact"/>
              <w:rPr>
                <w:sz w:val="20"/>
                <w:szCs w:val="20"/>
                <w:color w:val="auto"/>
              </w:rPr>
            </w:pPr>
            <w:r>
              <w:rPr>
                <w:rFonts w:ascii="Arial" w:cs="Arial" w:eastAsia="Arial" w:hAnsi="Arial"/>
                <w:sz w:val="18"/>
                <w:szCs w:val="18"/>
                <w:color w:val="auto"/>
                <w:w w:val="90"/>
              </w:rPr>
              <w:t>Common Stock, par value $.01; 250,000,000 shares authorized and 13,084,433 shares issued as of June 30, 2021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8960" w:type="dxa"/>
            <w:vAlign w:val="bottom"/>
          </w:tcPr>
          <w:p>
            <w:pPr>
              <w:ind w:left="520"/>
              <w:spacing w:after="0"/>
              <w:rPr>
                <w:sz w:val="20"/>
                <w:szCs w:val="20"/>
                <w:color w:val="auto"/>
              </w:rPr>
            </w:pPr>
            <w:r>
              <w:rPr>
                <w:rFonts w:ascii="Arial" w:cs="Arial" w:eastAsia="Arial" w:hAnsi="Arial"/>
                <w:sz w:val="18"/>
                <w:szCs w:val="18"/>
                <w:color w:val="auto"/>
              </w:rPr>
              <w:t>13,039,893 shares issued as of December 31, 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w:t>
            </w:r>
          </w:p>
        </w:tc>
        <w:tc>
          <w:tcPr>
            <w:tcW w:w="100" w:type="dxa"/>
            <w:vAlign w:val="bottom"/>
            <w:shd w:val="clear" w:color="auto" w:fill="CCEEFF"/>
          </w:tcPr>
          <w:p>
            <w:pPr>
              <w:spacing w:after="0"/>
              <w:rPr>
                <w:sz w:val="18"/>
                <w:szCs w:val="18"/>
                <w:color w:val="auto"/>
              </w:rPr>
            </w:pPr>
          </w:p>
        </w:tc>
      </w:tr>
      <w:tr>
        <w:trPr>
          <w:trHeight w:val="214"/>
        </w:trPr>
        <w:tc>
          <w:tcPr>
            <w:tcW w:w="89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38,620</w:t>
            </w:r>
          </w:p>
        </w:tc>
        <w:tc>
          <w:tcPr>
            <w:tcW w:w="100" w:type="dxa"/>
            <w:vAlign w:val="bottom"/>
          </w:tcPr>
          <w:p>
            <w:pPr>
              <w:spacing w:after="0"/>
              <w:rPr>
                <w:sz w:val="18"/>
                <w:szCs w:val="18"/>
                <w:color w:val="auto"/>
              </w:rPr>
            </w:pP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r>
      <w:tr>
        <w:trPr>
          <w:trHeight w:val="220"/>
        </w:trPr>
        <w:tc>
          <w:tcPr>
            <w:tcW w:w="8960" w:type="dxa"/>
            <w:vAlign w:val="bottom"/>
          </w:tcPr>
          <w:p>
            <w:pPr>
              <w:ind w:left="360"/>
              <w:spacing w:after="0"/>
              <w:rPr>
                <w:sz w:val="20"/>
                <w:szCs w:val="20"/>
                <w:color w:val="auto"/>
              </w:rPr>
            </w:pPr>
            <w:r>
              <w:rPr>
                <w:rFonts w:ascii="Arial" w:cs="Arial" w:eastAsia="Arial" w:hAnsi="Arial"/>
                <w:sz w:val="18"/>
                <w:szCs w:val="18"/>
                <w:color w:val="auto"/>
              </w:rPr>
              <w:t>Treasury stock, at cost; 1,646,420 shares as of June 30, 2021 and as of December 31, 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(4,187)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(4,187)</w:t>
            </w:r>
          </w:p>
        </w:tc>
      </w:tr>
      <w:tr>
        <w:trPr>
          <w:trHeight w:val="214"/>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59,533</w:t>
            </w:r>
          </w:p>
        </w:tc>
        <w:tc>
          <w:tcPr>
            <w:tcW w:w="100" w:type="dxa"/>
            <w:vAlign w:val="bottom"/>
            <w:shd w:val="clear" w:color="auto" w:fill="CCEEFF"/>
          </w:tcPr>
          <w:p>
            <w:pPr>
              <w:spacing w:after="0"/>
              <w:rPr>
                <w:sz w:val="18"/>
                <w:szCs w:val="18"/>
                <w:color w:val="auto"/>
              </w:rPr>
            </w:pPr>
          </w:p>
        </w:tc>
      </w:tr>
      <w:tr>
        <w:trPr>
          <w:trHeight w:val="220"/>
        </w:trPr>
        <w:tc>
          <w:tcPr>
            <w:tcW w:w="8960" w:type="dxa"/>
            <w:vAlign w:val="bottom"/>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108,696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102,046</w:t>
            </w:r>
          </w:p>
        </w:tc>
        <w:tc>
          <w:tcPr>
            <w:tcW w:w="10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080"/>
          </w:cols>
          <w:pgMar w:left="320" w:top="482" w:right="499" w:bottom="1440" w:gutter="0" w:footer="0" w:header="0"/>
        </w:sectPr>
      </w:pP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080"/>
          </w:cols>
          <w:pgMar w:left="320" w:top="482" w:right="4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vMerge w:val="restart"/>
          </w:tcPr>
          <w:p>
            <w:pPr>
              <w:jc w:val="center"/>
              <w:ind w:left="134"/>
              <w:spacing w:after="0"/>
              <w:rPr>
                <w:sz w:val="20"/>
                <w:szCs w:val="20"/>
                <w:color w:val="auto"/>
              </w:rPr>
            </w:pPr>
            <w:r>
              <w:rPr>
                <w:rFonts w:ascii="Arial" w:cs="Arial" w:eastAsia="Arial" w:hAnsi="Arial"/>
                <w:sz w:val="14"/>
                <w:szCs w:val="14"/>
                <w:b w:val="1"/>
                <w:bCs w:val="1"/>
                <w:color w:val="auto"/>
                <w:w w:val="93"/>
              </w:rPr>
              <w:t>Additional</w:t>
            </w:r>
          </w:p>
        </w:tc>
        <w:tc>
          <w:tcPr>
            <w:tcW w:w="10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88"/>
              </w:rPr>
              <w:t>Accumulated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w w:val="91"/>
              </w:rPr>
              <w:t>Retained</w:t>
            </w:r>
          </w:p>
        </w:tc>
        <w:tc>
          <w:tcPr>
            <w:tcW w:w="1000" w:type="dxa"/>
            <w:vAlign w:val="bottom"/>
            <w:gridSpan w:val="3"/>
            <w:vMerge w:val="continue"/>
          </w:tcPr>
          <w:p>
            <w:pPr>
              <w:spacing w:after="0"/>
              <w:rPr>
                <w:sz w:val="12"/>
                <w:szCs w:val="12"/>
                <w:color w:val="auto"/>
              </w:rPr>
            </w:pPr>
          </w:p>
        </w:tc>
        <w:tc>
          <w:tcPr>
            <w:tcW w:w="1240" w:type="dxa"/>
            <w:vAlign w:val="bottom"/>
            <w:gridSpan w:val="4"/>
          </w:tcPr>
          <w:p>
            <w:pPr>
              <w:ind w:left="120"/>
              <w:spacing w:after="0" w:line="147"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4"/>
          </w:tcPr>
          <w:p>
            <w:pPr>
              <w:ind w:left="120"/>
              <w:spacing w:after="0" w:line="147"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Earnings</w:t>
            </w:r>
          </w:p>
        </w:tc>
        <w:tc>
          <w:tcPr>
            <w:tcW w:w="260" w:type="dxa"/>
            <w:vAlign w:val="bottom"/>
          </w:tcPr>
          <w:p>
            <w:pPr>
              <w:spacing w:after="0"/>
              <w:rPr>
                <w:sz w:val="14"/>
                <w:szCs w:val="14"/>
                <w:color w:val="auto"/>
              </w:rPr>
            </w:pPr>
          </w:p>
        </w:tc>
        <w:tc>
          <w:tcPr>
            <w:tcW w:w="740" w:type="dxa"/>
            <w:vAlign w:val="bottom"/>
            <w:gridSpan w:val="2"/>
          </w:tcPr>
          <w:p>
            <w:pPr>
              <w:jc w:val="center"/>
              <w:ind w:right="122"/>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130</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$ 25,509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net of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w w:val="86"/>
              </w:rPr>
              <w:t>621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6"/>
              </w:rPr>
              <w:t>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gridSpan w:val="2"/>
          </w:tcPr>
          <w:p>
            <w:pPr>
              <w:spacing w:after="0"/>
              <w:rPr>
                <w:sz w:val="20"/>
                <w:szCs w:val="20"/>
                <w:color w:val="auto"/>
              </w:rPr>
            </w:pPr>
            <w:r>
              <w:rPr>
                <w:rFonts w:ascii="Arial" w:cs="Arial" w:eastAsia="Arial" w:hAnsi="Arial"/>
                <w:sz w:val="18"/>
                <w:szCs w:val="18"/>
                <w:color w:val="auto"/>
              </w:rPr>
              <w:t>Balances, March 31, 2021</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130</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$ 26,231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39,814</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Employee common stock purchases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w w:val="86"/>
              </w:rPr>
              <w:t>181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w w:val="86"/>
              </w:rPr>
              <w:t>757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gridSpan w:val="2"/>
          </w:tcPr>
          <w:p>
            <w:pPr>
              <w:spacing w:after="0"/>
              <w:rPr>
                <w:sz w:val="20"/>
                <w:szCs w:val="20"/>
                <w:color w:val="auto"/>
              </w:rPr>
            </w:pPr>
            <w:r>
              <w:rPr>
                <w:rFonts w:ascii="Arial" w:cs="Arial" w:eastAsia="Arial" w:hAnsi="Arial"/>
                <w:sz w:val="18"/>
                <w:szCs w:val="18"/>
                <w:color w:val="auto"/>
              </w:rPr>
              <w:t>Balances, June 30, 2021</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131</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$ 27,172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43,552</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vMerge w:val="restart"/>
          </w:tcPr>
          <w:p>
            <w:pPr>
              <w:jc w:val="center"/>
              <w:ind w:left="134"/>
              <w:spacing w:after="0"/>
              <w:rPr>
                <w:sz w:val="20"/>
                <w:szCs w:val="20"/>
                <w:color w:val="auto"/>
              </w:rPr>
            </w:pPr>
            <w:r>
              <w:rPr>
                <w:rFonts w:ascii="Arial" w:cs="Arial" w:eastAsia="Arial" w:hAnsi="Arial"/>
                <w:sz w:val="14"/>
                <w:szCs w:val="14"/>
                <w:b w:val="1"/>
                <w:bCs w:val="1"/>
                <w:color w:val="auto"/>
                <w:w w:val="93"/>
              </w:rPr>
              <w:t>Additional</w:t>
            </w:r>
          </w:p>
        </w:tc>
        <w:tc>
          <w:tcPr>
            <w:tcW w:w="10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88"/>
              </w:rPr>
              <w:t>Accumulated</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w w:val="91"/>
              </w:rPr>
              <w:t>Retained</w:t>
            </w:r>
          </w:p>
        </w:tc>
        <w:tc>
          <w:tcPr>
            <w:tcW w:w="1000" w:type="dxa"/>
            <w:vAlign w:val="bottom"/>
            <w:gridSpan w:val="3"/>
            <w:vMerge w:val="continue"/>
          </w:tcPr>
          <w:p>
            <w:pPr>
              <w:spacing w:after="0"/>
              <w:rPr>
                <w:sz w:val="12"/>
                <w:szCs w:val="12"/>
                <w:color w:val="auto"/>
              </w:rPr>
            </w:pPr>
          </w:p>
        </w:tc>
        <w:tc>
          <w:tcPr>
            <w:tcW w:w="1240" w:type="dxa"/>
            <w:vAlign w:val="bottom"/>
            <w:gridSpan w:val="4"/>
          </w:tcPr>
          <w:p>
            <w:pPr>
              <w:ind w:left="120"/>
              <w:spacing w:after="0" w:line="147"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4"/>
          </w:tcPr>
          <w:p>
            <w:pPr>
              <w:ind w:left="120"/>
              <w:spacing w:after="0" w:line="147"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Earnings</w:t>
            </w:r>
          </w:p>
        </w:tc>
        <w:tc>
          <w:tcPr>
            <w:tcW w:w="260" w:type="dxa"/>
            <w:vAlign w:val="bottom"/>
          </w:tcPr>
          <w:p>
            <w:pPr>
              <w:spacing w:after="0"/>
              <w:rPr>
                <w:sz w:val="14"/>
                <w:szCs w:val="14"/>
                <w:color w:val="auto"/>
              </w:rPr>
            </w:pPr>
          </w:p>
        </w:tc>
        <w:tc>
          <w:tcPr>
            <w:tcW w:w="740" w:type="dxa"/>
            <w:vAlign w:val="bottom"/>
            <w:gridSpan w:val="2"/>
          </w:tcPr>
          <w:p>
            <w:pPr>
              <w:jc w:val="center"/>
              <w:ind w:right="122"/>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127</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$ 21,939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1,869</w:t>
            </w:r>
          </w:p>
        </w:tc>
        <w:tc>
          <w:tcPr>
            <w:tcW w:w="2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w w:val="86"/>
              </w:rPr>
              <w:t>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6"/>
              </w:rPr>
              <w:t>555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gridSpan w:val="2"/>
          </w:tcPr>
          <w:p>
            <w:pPr>
              <w:spacing w:after="0"/>
              <w:rPr>
                <w:sz w:val="20"/>
                <w:szCs w:val="20"/>
                <w:color w:val="auto"/>
              </w:rPr>
            </w:pPr>
            <w:r>
              <w:rPr>
                <w:rFonts w:ascii="Arial" w:cs="Arial" w:eastAsia="Arial" w:hAnsi="Arial"/>
                <w:sz w:val="18"/>
                <w:szCs w:val="18"/>
                <w:color w:val="auto"/>
              </w:rPr>
              <w:t>Balances, March 31, 2020</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128</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$ 22,950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30,628</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Employee common stock purchases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w w:val="86"/>
              </w:rPr>
              <w:t>105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w w:val="86"/>
              </w:rPr>
              <w:t>612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6"/>
              </w:rPr>
              <w:t>765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gridSpan w:val="2"/>
          </w:tcPr>
          <w:p>
            <w:pPr>
              <w:spacing w:after="0"/>
              <w:rPr>
                <w:sz w:val="20"/>
                <w:szCs w:val="20"/>
                <w:color w:val="auto"/>
              </w:rPr>
            </w:pPr>
            <w:r>
              <w:rPr>
                <w:rFonts w:ascii="Arial" w:cs="Arial" w:eastAsia="Arial" w:hAnsi="Arial"/>
                <w:sz w:val="18"/>
                <w:szCs w:val="18"/>
                <w:color w:val="auto"/>
              </w:rPr>
              <w:t>Balances, June 30, 2020</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130</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$ 24,432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33,597</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82"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Six Months Ended</w:t>
      </w:r>
    </w:p>
    <w:p>
      <w:pPr>
        <w:jc w:val="center"/>
        <w:ind w:left="9320"/>
        <w:spacing w:after="0" w:line="231"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94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3"/>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07"/>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$ 4,932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cash provided by (used in) operating activities: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amortization of deferred financing costs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r>
        <w:trPr>
          <w:trHeight w:val="214"/>
        </w:trPr>
        <w:tc>
          <w:tcPr>
            <w:tcW w:w="20" w:type="dxa"/>
            <w:vAlign w:val="bottom"/>
          </w:tcPr>
          <w:p>
            <w:pPr>
              <w:spacing w:after="0"/>
              <w:rPr>
                <w:sz w:val="18"/>
                <w:szCs w:val="18"/>
                <w:color w:val="auto"/>
              </w:rPr>
            </w:pPr>
          </w:p>
        </w:tc>
        <w:tc>
          <w:tcPr>
            <w:tcW w:w="9400" w:type="dxa"/>
            <w:vAlign w:val="bottom"/>
          </w:tcPr>
          <w:p>
            <w:pPr>
              <w:ind w:left="680"/>
              <w:spacing w:after="0"/>
              <w:rPr>
                <w:sz w:val="20"/>
                <w:szCs w:val="20"/>
                <w:color w:val="auto"/>
              </w:rPr>
            </w:pPr>
            <w:r>
              <w:rPr>
                <w:rFonts w:ascii="Arial" w:cs="Arial" w:eastAsia="Arial" w:hAnsi="Arial"/>
                <w:sz w:val="18"/>
                <w:szCs w:val="18"/>
                <w:color w:val="auto"/>
              </w:rPr>
              <w:t>Revaluation of contingent consideration liability</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assets and liabilities,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4"/>
        </w:trPr>
        <w:tc>
          <w:tcPr>
            <w:tcW w:w="20" w:type="dxa"/>
            <w:vAlign w:val="bottom"/>
          </w:tcPr>
          <w:p>
            <w:pPr>
              <w:spacing w:after="0"/>
              <w:rPr>
                <w:sz w:val="18"/>
                <w:szCs w:val="18"/>
                <w:color w:val="auto"/>
              </w:rPr>
            </w:pPr>
          </w:p>
        </w:tc>
        <w:tc>
          <w:tcPr>
            <w:tcW w:w="9400" w:type="dxa"/>
            <w:vAlign w:val="bottom"/>
          </w:tcPr>
          <w:p>
            <w:pPr>
              <w:ind w:left="680"/>
              <w:spacing w:after="0"/>
              <w:rPr>
                <w:sz w:val="20"/>
                <w:szCs w:val="20"/>
                <w:color w:val="auto"/>
              </w:rPr>
            </w:pPr>
            <w:r>
              <w:rPr>
                <w:rFonts w:ascii="Arial" w:cs="Arial" w:eastAsia="Arial" w:hAnsi="Arial"/>
                <w:sz w:val="18"/>
                <w:szCs w:val="18"/>
                <w:color w:val="auto"/>
              </w:rPr>
              <w:t>Loss on disposition of fixed assets</w:t>
            </w:r>
          </w:p>
        </w:tc>
        <w:tc>
          <w:tcPr>
            <w:tcW w:w="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Working capital items: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tcPr>
          <w:p>
            <w:pPr>
              <w:ind w:left="680"/>
              <w:spacing w:after="0"/>
              <w:rPr>
                <w:sz w:val="20"/>
                <w:szCs w:val="20"/>
                <w:color w:val="auto"/>
              </w:rPr>
            </w:pPr>
            <w:r>
              <w:rPr>
                <w:rFonts w:ascii="Arial" w:cs="Arial" w:eastAsia="Arial" w:hAnsi="Arial"/>
                <w:sz w:val="18"/>
                <w:szCs w:val="18"/>
                <w:color w:val="auto"/>
              </w:rPr>
              <w:t>Accounts receivable and unbilled receivables</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(6,450)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and other current assets</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payroll and related costs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tcPr>
          <w:p>
            <w:pPr>
              <w:ind w:left="680"/>
              <w:spacing w:after="0"/>
              <w:rPr>
                <w:sz w:val="20"/>
                <w:szCs w:val="20"/>
                <w:color w:val="auto"/>
              </w:rPr>
            </w:pPr>
            <w:r>
              <w:rPr>
                <w:rFonts w:ascii="Arial" w:cs="Arial" w:eastAsia="Arial" w:hAnsi="Arial"/>
                <w:sz w:val="18"/>
                <w:szCs w:val="18"/>
                <w:color w:val="auto"/>
              </w:rPr>
              <w:t>Other accrued liabilities</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revenue</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27"/>
        </w:trPr>
        <w:tc>
          <w:tcPr>
            <w:tcW w:w="20" w:type="dxa"/>
            <w:vAlign w:val="bottom"/>
          </w:tcPr>
          <w:p>
            <w:pPr>
              <w:spacing w:after="0"/>
              <w:rPr>
                <w:sz w:val="19"/>
                <w:szCs w:val="19"/>
                <w:color w:val="auto"/>
              </w:rPr>
            </w:pPr>
          </w:p>
        </w:tc>
        <w:tc>
          <w:tcPr>
            <w:tcW w:w="9400" w:type="dxa"/>
            <w:vAlign w:val="bottom"/>
          </w:tcPr>
          <w:p>
            <w:pPr>
              <w:ind w:left="1040"/>
              <w:spacing w:after="0"/>
              <w:rPr>
                <w:sz w:val="20"/>
                <w:szCs w:val="20"/>
                <w:color w:val="auto"/>
              </w:rPr>
            </w:pPr>
            <w:r>
              <w:rPr>
                <w:rFonts w:ascii="Arial" w:cs="Arial" w:eastAsia="Arial" w:hAnsi="Arial"/>
                <w:sz w:val="18"/>
                <w:szCs w:val="18"/>
                <w:color w:val="auto"/>
              </w:rPr>
              <w:t>Net cash flows provided by operating activities</w:t>
            </w: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11,575</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Recovery of (payment for) non-current deposits</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227"/>
        </w:trPr>
        <w:tc>
          <w:tcPr>
            <w:tcW w:w="20" w:type="dxa"/>
            <w:vAlign w:val="bottom"/>
          </w:tcPr>
          <w:p>
            <w:pPr>
              <w:spacing w:after="0"/>
              <w:rPr>
                <w:sz w:val="19"/>
                <w:szCs w:val="19"/>
                <w:color w:val="auto"/>
              </w:rPr>
            </w:pPr>
          </w:p>
        </w:tc>
        <w:tc>
          <w:tcPr>
            <w:tcW w:w="9400" w:type="dxa"/>
            <w:vAlign w:val="bottom"/>
          </w:tcPr>
          <w:p>
            <w:pPr>
              <w:ind w:left="1040"/>
              <w:spacing w:after="0"/>
              <w:rPr>
                <w:sz w:val="20"/>
                <w:szCs w:val="20"/>
                <w:color w:val="auto"/>
              </w:rPr>
            </w:pPr>
            <w:r>
              <w:rPr>
                <w:rFonts w:ascii="Arial" w:cs="Arial" w:eastAsia="Arial" w:hAnsi="Arial"/>
                <w:sz w:val="18"/>
                <w:szCs w:val="18"/>
                <w:color w:val="auto"/>
              </w:rPr>
              <w:t>Net cash flows (used in) investing activities</w:t>
            </w: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(Repayments) borrowings on revolving credit facility, net</w:t>
            </w:r>
          </w:p>
        </w:tc>
        <w:tc>
          <w:tcPr>
            <w:tcW w:w="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(4,551)</w:t>
            </w: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term loan facility</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(6,250)</w:t>
            </w:r>
          </w:p>
        </w:tc>
      </w:tr>
      <w:tr>
        <w:trPr>
          <w:trHeight w:val="214"/>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Proceeds from the issuance of common shares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9400" w:type="dxa"/>
            <w:vAlign w:val="bottom"/>
          </w:tcPr>
          <w:p>
            <w:pPr>
              <w:ind w:left="1040"/>
              <w:spacing w:after="0"/>
              <w:rPr>
                <w:sz w:val="20"/>
                <w:szCs w:val="20"/>
                <w:color w:val="auto"/>
              </w:rPr>
            </w:pPr>
            <w:r>
              <w:rPr>
                <w:rFonts w:ascii="Arial" w:cs="Arial" w:eastAsia="Arial" w:hAnsi="Arial"/>
                <w:sz w:val="18"/>
                <w:szCs w:val="18"/>
                <w:color w:val="auto"/>
              </w:rPr>
              <w:t>Net cash flows (used in) financing activities</w:t>
            </w: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(9,373)</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20"/>
        </w:trPr>
        <w:tc>
          <w:tcPr>
            <w:tcW w:w="94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shd w:val="clear" w:color="auto" w:fill="CCEEFF"/>
          </w:tcPr>
          <w:p>
            <w:pPr>
              <w:spacing w:after="0"/>
              <w:rPr>
                <w:sz w:val="18"/>
                <w:szCs w:val="18"/>
                <w:color w:val="auto"/>
              </w:rPr>
            </w:pPr>
          </w:p>
        </w:tc>
      </w:tr>
      <w:tr>
        <w:trPr>
          <w:trHeight w:val="220"/>
        </w:trPr>
        <w:tc>
          <w:tcPr>
            <w:tcW w:w="94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$ 5,302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82"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MASTECH DIGITAL, INC.</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2021 AND 2020</w:t>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600" w:right="6640" w:hanging="426"/>
        <w:spacing w:after="0" w:line="374" w:lineRule="auto"/>
        <w:tabs>
          <w:tab w:leader="none" w:pos="5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Basis of Presentation</w:t>
      </w:r>
    </w:p>
    <w:p>
      <w:pPr>
        <w:ind w:left="180" w:right="80" w:firstLine="436"/>
        <w:spacing w:after="0" w:line="259" w:lineRule="auto"/>
        <w:rPr>
          <w:sz w:val="20"/>
          <w:szCs w:val="20"/>
          <w:color w:val="auto"/>
        </w:rPr>
      </w:pPr>
      <w:r>
        <w:rPr>
          <w:rFonts w:ascii="Arial" w:cs="Arial" w:eastAsia="Arial" w:hAnsi="Arial"/>
          <w:sz w:val="18"/>
          <w:szCs w:val="18"/>
          <w:color w:val="auto"/>
        </w:rPr>
        <w:t>References in this Quarterly Report on Form 10-Q to “we”, “our”, “Mastech Digital”, “Mastech” or “the Company” refer collectively to Mastech Digital, Inc. and its wholly-owned operating subsidiaries, which are included in these Condensed Consolidated Financial Statements (the “Financial Statements”).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portfolio of offerings includes data management and analytics services; digital learning services; and IT staffing services.</w:t>
      </w:r>
    </w:p>
    <w:p>
      <w:pPr>
        <w:spacing w:after="0" w:line="220" w:lineRule="exact"/>
        <w:rPr>
          <w:sz w:val="20"/>
          <w:szCs w:val="20"/>
          <w:color w:val="auto"/>
        </w:rPr>
      </w:pPr>
    </w:p>
    <w:p>
      <w:pPr>
        <w:ind w:left="180" w:right="40" w:firstLine="436"/>
        <w:spacing w:after="0" w:line="292" w:lineRule="auto"/>
        <w:rPr>
          <w:sz w:val="20"/>
          <w:szCs w:val="20"/>
          <w:color w:val="auto"/>
        </w:rPr>
      </w:pPr>
      <w:r>
        <w:rPr>
          <w:rFonts w:ascii="Arial" w:cs="Arial" w:eastAsia="Arial" w:hAnsi="Arial"/>
          <w:sz w:val="16"/>
          <w:szCs w:val="16"/>
          <w:color w:val="auto"/>
        </w:rPr>
        <w:t>Reflective of our 2017 acquisition of the services division of Canada-based InfoTrellis, Inc., we have added specialized capabilities in delivering data and analytics services to our customers globally. This business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capabilities in customer experience strategy and managed services offering for a variety of Cloud-based enterprise applications across sales, marketing and customer services organizations.</w:t>
      </w:r>
    </w:p>
    <w:p>
      <w:pPr>
        <w:spacing w:after="0" w:line="163" w:lineRule="exact"/>
        <w:rPr>
          <w:sz w:val="20"/>
          <w:szCs w:val="20"/>
          <w:color w:val="auto"/>
        </w:rPr>
      </w:pPr>
    </w:p>
    <w:p>
      <w:pPr>
        <w:ind w:left="180" w:right="80" w:firstLine="436"/>
        <w:spacing w:after="0" w:line="255" w:lineRule="auto"/>
        <w:rPr>
          <w:sz w:val="20"/>
          <w:szCs w:val="20"/>
          <w:color w:val="auto"/>
        </w:rPr>
      </w:pPr>
      <w:r>
        <w:rPr>
          <w:rFonts w:ascii="Arial" w:cs="Arial" w:eastAsia="Arial" w:hAnsi="Arial"/>
          <w:sz w:val="18"/>
          <w:szCs w:val="18"/>
          <w:color w:val="auto"/>
        </w:rPr>
        <w:t>Our IT staffing business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9" w:lineRule="exact"/>
        <w:rPr>
          <w:sz w:val="20"/>
          <w:szCs w:val="20"/>
          <w:color w:val="auto"/>
        </w:rPr>
      </w:pPr>
    </w:p>
    <w:p>
      <w:pPr>
        <w:ind w:left="180" w:right="120" w:firstLine="436"/>
        <w:spacing w:after="0" w:line="255" w:lineRule="auto"/>
        <w:rPr>
          <w:sz w:val="20"/>
          <w:szCs w:val="20"/>
          <w:color w:val="auto"/>
        </w:rPr>
      </w:pPr>
      <w:r>
        <w:rPr>
          <w:rFonts w:ascii="Arial" w:cs="Arial" w:eastAsia="Arial" w:hAnsi="Arial"/>
          <w:sz w:val="18"/>
          <w:szCs w:val="18"/>
          <w:color w:val="auto"/>
        </w:rPr>
        <w:t>The COVID-19 pandemic had a material impact on activity levels in both of our business segments in 2020. During the first six months of 2021, we are encouraged by the global roll-out of vaccination programs and some signs of economic expansion and improving economic conditions as the impact of the pandemic subsides. There is, however, still uncertainty regarding the virus and the pace, nature and extent of the recovery of global markets and particular industries from the pandemic.</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14" w:lineRule="exact"/>
        <w:rPr>
          <w:sz w:val="20"/>
          <w:szCs w:val="20"/>
          <w:color w:val="auto"/>
        </w:rPr>
      </w:pPr>
    </w:p>
    <w:p>
      <w:pPr>
        <w:ind w:left="180" w:firstLine="436"/>
        <w:spacing w:after="0" w:line="285" w:lineRule="auto"/>
        <w:rPr>
          <w:sz w:val="20"/>
          <w:szCs w:val="20"/>
          <w:color w:val="auto"/>
        </w:rPr>
      </w:pPr>
      <w:r>
        <w:rPr>
          <w:rFonts w:ascii="Arial" w:cs="Arial" w:eastAsia="Arial" w:hAnsi="Arial"/>
          <w:sz w:val="16"/>
          <w:szCs w:val="16"/>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2020, included in our Annual Report on Form 10-K filed with the SEC on March 16, 2021. Additionally, our operating results for the three and six months ended June 30, 2021 are not necessarily indicative of the results that can be expected for the year ending December 31, 2021 or for any other period.</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4" w:lineRule="exact"/>
        <w:rPr>
          <w:sz w:val="20"/>
          <w:szCs w:val="20"/>
          <w:color w:val="auto"/>
        </w:rPr>
      </w:pPr>
    </w:p>
    <w:p>
      <w:pPr>
        <w:ind w:left="180" w:right="300" w:firstLine="436"/>
        <w:spacing w:after="0" w:line="270" w:lineRule="auto"/>
        <w:rPr>
          <w:sz w:val="20"/>
          <w:szCs w:val="20"/>
          <w:color w:val="auto"/>
        </w:rPr>
      </w:pPr>
      <w:r>
        <w:rPr>
          <w:rFonts w:ascii="Arial" w:cs="Arial" w:eastAsia="Arial" w:hAnsi="Arial"/>
          <w:sz w:val="18"/>
          <w:szCs w:val="18"/>
          <w:color w:val="auto"/>
        </w:rPr>
        <w:t>The Financial Statements include the accounts of the Company and its wholly-owned subsidiaries. All material intercompany transactions and balances have been eliminated in consolidation.</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4" w:lineRule="exact"/>
        <w:rPr>
          <w:sz w:val="20"/>
          <w:szCs w:val="20"/>
          <w:color w:val="auto"/>
        </w:rPr>
      </w:pPr>
    </w:p>
    <w:p>
      <w:pPr>
        <w:ind w:left="180" w:right="40" w:firstLine="436"/>
        <w:spacing w:after="0" w:line="275"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2020 for a more detailed discussion of our significant accounting policies and critical accounting estimates. There were no material changes to these critical accounting policies during the six months ended June 30, 2021.</w:t>
      </w:r>
    </w:p>
    <w:p>
      <w:pPr>
        <w:sectPr>
          <w:pgSz w:w="11900" w:h="16838" w:orient="portrait"/>
          <w:cols w:equalWidth="0" w:num="1">
            <w:col w:w="11040"/>
          </w:cols>
          <w:pgMar w:left="320" w:top="482" w:right="539" w:bottom="1440" w:gutter="0" w:footer="0" w:header="0"/>
        </w:sectPr>
      </w:pP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40"/>
          </w:cols>
          <w:pgMar w:left="320" w:top="482" w:right="5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4" w:lineRule="exact"/>
        <w:rPr>
          <w:sz w:val="20"/>
          <w:szCs w:val="20"/>
          <w:color w:val="auto"/>
        </w:rPr>
      </w:pPr>
    </w:p>
    <w:p>
      <w:pPr>
        <w:ind w:left="180" w:right="620" w:firstLine="436"/>
        <w:spacing w:after="0" w:line="270" w:lineRule="auto"/>
        <w:rPr>
          <w:sz w:val="20"/>
          <w:szCs w:val="20"/>
          <w:color w:val="auto"/>
        </w:rPr>
      </w:pPr>
      <w:r>
        <w:rPr>
          <w:rFonts w:ascii="Arial" w:cs="Arial" w:eastAsia="Arial" w:hAnsi="Arial"/>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171" w:lineRule="exact"/>
        <w:rPr>
          <w:sz w:val="20"/>
          <w:szCs w:val="20"/>
          <w:color w:val="auto"/>
        </w:rPr>
      </w:pPr>
    </w:p>
    <w:p>
      <w:pPr>
        <w:ind w:left="600" w:hanging="426"/>
        <w:spacing w:after="0"/>
        <w:tabs>
          <w:tab w:leader="none" w:pos="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18" w:lineRule="exact"/>
        <w:rPr>
          <w:sz w:val="20"/>
          <w:szCs w:val="20"/>
          <w:color w:val="auto"/>
        </w:rPr>
      </w:pPr>
    </w:p>
    <w:p>
      <w:pPr>
        <w:ind w:left="180" w:right="40" w:firstLine="436"/>
        <w:spacing w:after="0" w:line="253" w:lineRule="auto"/>
        <w:rPr>
          <w:sz w:val="20"/>
          <w:szCs w:val="20"/>
          <w:color w:val="auto"/>
        </w:rPr>
      </w:pPr>
      <w:r>
        <w:rPr>
          <w:rFonts w:ascii="Arial" w:cs="Arial" w:eastAsia="Arial" w:hAnsi="Arial"/>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 Revenue is earned on a per transaction or labor hour basis, as that amount directly corresponds to the value of the Company’s performance. Revenue recognition is negatively impacted by holidays and consultant vacation and sick days.</w:t>
      </w:r>
    </w:p>
    <w:p>
      <w:pPr>
        <w:spacing w:after="0" w:line="191" w:lineRule="exact"/>
        <w:rPr>
          <w:sz w:val="20"/>
          <w:szCs w:val="20"/>
          <w:color w:val="auto"/>
        </w:rPr>
      </w:pPr>
    </w:p>
    <w:p>
      <w:pPr>
        <w:ind w:left="180" w:right="220" w:firstLine="436"/>
        <w:spacing w:after="0" w:line="268" w:lineRule="auto"/>
        <w:rPr>
          <w:sz w:val="20"/>
          <w:szCs w:val="20"/>
          <w:color w:val="auto"/>
        </w:rPr>
      </w:pPr>
      <w:r>
        <w:rPr>
          <w:rFonts w:ascii="Arial" w:cs="Arial" w:eastAsia="Arial" w:hAnsi="Arial"/>
          <w:sz w:val="17"/>
          <w:szCs w:val="17"/>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82" w:lineRule="exact"/>
        <w:rPr>
          <w:sz w:val="20"/>
          <w:szCs w:val="20"/>
          <w:color w:val="auto"/>
        </w:rPr>
      </w:pPr>
    </w:p>
    <w:p>
      <w:pPr>
        <w:ind w:left="180" w:firstLine="436"/>
        <w:spacing w:after="0" w:line="270" w:lineRule="auto"/>
        <w:rPr>
          <w:sz w:val="20"/>
          <w:szCs w:val="20"/>
          <w:color w:val="auto"/>
        </w:rPr>
      </w:pPr>
      <w:r>
        <w:rPr>
          <w:rFonts w:ascii="Arial" w:cs="Arial" w:eastAsia="Arial" w:hAnsi="Arial"/>
          <w:sz w:val="18"/>
          <w:szCs w:val="18"/>
          <w:color w:val="auto"/>
        </w:rPr>
        <w:t>The Company’s time-and-material and fixed price revenue streams are recognized over time as the customer receives and consumes the benefits of the Company’s performance as the work is performed.</w:t>
      </w:r>
    </w:p>
    <w:p>
      <w:pPr>
        <w:spacing w:after="0" w:line="175" w:lineRule="exact"/>
        <w:rPr>
          <w:sz w:val="20"/>
          <w:szCs w:val="20"/>
          <w:color w:val="auto"/>
        </w:rPr>
      </w:pPr>
    </w:p>
    <w:p>
      <w:pPr>
        <w:ind w:left="180" w:right="820" w:firstLine="436"/>
        <w:spacing w:after="0" w:line="300" w:lineRule="auto"/>
        <w:rPr>
          <w:sz w:val="20"/>
          <w:szCs w:val="20"/>
          <w:color w:val="auto"/>
        </w:rPr>
      </w:pPr>
      <w:r>
        <w:rPr>
          <w:rFonts w:ascii="Arial" w:cs="Arial" w:eastAsia="Arial" w:hAnsi="Arial"/>
          <w:sz w:val="17"/>
          <w:szCs w:val="17"/>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53" w:lineRule="exact"/>
        <w:rPr>
          <w:sz w:val="20"/>
          <w:szCs w:val="20"/>
          <w:color w:val="auto"/>
        </w:rPr>
      </w:pPr>
    </w:p>
    <w:p>
      <w:pPr>
        <w:ind w:left="180" w:right="20" w:firstLine="436"/>
        <w:spacing w:after="0" w:line="259" w:lineRule="auto"/>
        <w:rPr>
          <w:sz w:val="20"/>
          <w:szCs w:val="20"/>
          <w:color w:val="auto"/>
        </w:rPr>
      </w:pPr>
      <w:r>
        <w:rPr>
          <w:rFonts w:ascii="Arial" w:cs="Arial" w:eastAsia="Arial" w:hAnsi="Arial"/>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w:t>
      </w:r>
    </w:p>
    <w:p>
      <w:pPr>
        <w:spacing w:after="0" w:line="185" w:lineRule="exact"/>
        <w:rPr>
          <w:sz w:val="20"/>
          <w:szCs w:val="20"/>
          <w:color w:val="auto"/>
        </w:rPr>
      </w:pPr>
    </w:p>
    <w:p>
      <w:pPr>
        <w:ind w:left="180" w:right="240" w:firstLine="436"/>
        <w:spacing w:after="0" w:line="255" w:lineRule="auto"/>
        <w:rPr>
          <w:sz w:val="20"/>
          <w:szCs w:val="20"/>
          <w:color w:val="auto"/>
        </w:rPr>
      </w:pPr>
      <w:r>
        <w:rPr>
          <w:rFonts w:ascii="Arial" w:cs="Arial" w:eastAsia="Arial" w:hAnsi="Arial"/>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9" w:lineRule="exact"/>
        <w:rPr>
          <w:sz w:val="20"/>
          <w:szCs w:val="20"/>
          <w:color w:val="auto"/>
        </w:rPr>
      </w:pPr>
    </w:p>
    <w:p>
      <w:pPr>
        <w:ind w:left="180" w:right="100" w:firstLine="436"/>
        <w:spacing w:after="0" w:line="259" w:lineRule="auto"/>
        <w:rPr>
          <w:sz w:val="20"/>
          <w:szCs w:val="20"/>
          <w:color w:val="auto"/>
        </w:rPr>
      </w:pPr>
      <w:r>
        <w:rPr>
          <w:rFonts w:ascii="Arial" w:cs="Arial" w:eastAsia="Arial" w:hAnsi="Arial"/>
          <w:sz w:val="18"/>
          <w:szCs w:val="18"/>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Data Engineering and Analytics, which can be delivered using onsite and offshore resources.</w:t>
      </w:r>
    </w:p>
    <w:p>
      <w:pPr>
        <w:spacing w:after="0" w:line="185" w:lineRule="exact"/>
        <w:rPr>
          <w:sz w:val="20"/>
          <w:szCs w:val="20"/>
          <w:color w:val="auto"/>
        </w:rPr>
      </w:pPr>
    </w:p>
    <w:p>
      <w:pPr>
        <w:ind w:left="180" w:right="40" w:firstLine="436"/>
        <w:spacing w:after="0" w:line="271" w:lineRule="auto"/>
        <w:rPr>
          <w:sz w:val="20"/>
          <w:szCs w:val="20"/>
          <w:color w:val="auto"/>
        </w:rPr>
      </w:pPr>
      <w:r>
        <w:rPr>
          <w:rFonts w:ascii="Arial" w:cs="Arial" w:eastAsia="Arial" w:hAnsi="Arial"/>
          <w:sz w:val="17"/>
          <w:szCs w:val="17"/>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82"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depicts the disaggregation of our revenues by contract type and operating segment:</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line="154"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3"/>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line="154"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0"/>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center"/>
              <w:ind w:right="13"/>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6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76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Data and Analytics Services Segment</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Time-and-material Contracts</w:t>
            </w:r>
          </w:p>
        </w:tc>
        <w:tc>
          <w:tcPr>
            <w:tcW w:w="19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5,917</w:t>
            </w:r>
          </w:p>
        </w:tc>
        <w:tc>
          <w:tcPr>
            <w:tcW w:w="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3,685</w:t>
            </w:r>
          </w:p>
        </w:tc>
        <w:tc>
          <w:tcPr>
            <w:tcW w:w="4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11,771</w:t>
            </w: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7,812</w:t>
            </w:r>
          </w:p>
        </w:tc>
        <w:tc>
          <w:tcPr>
            <w:tcW w:w="6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76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1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8,950</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6,772</w:t>
            </w: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17,744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14,132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shd w:val="clear" w:color="auto" w:fill="CCEEFF"/>
          </w:tcPr>
          <w:p>
            <w:pPr>
              <w:spacing w:after="0" w:line="167" w:lineRule="exact"/>
              <w:rPr>
                <w:sz w:val="20"/>
                <w:szCs w:val="20"/>
                <w:color w:val="auto"/>
              </w:rPr>
            </w:pPr>
            <w:r>
              <w:rPr>
                <w:rFonts w:ascii="Arial" w:cs="Arial" w:eastAsia="Arial" w:hAnsi="Arial"/>
                <w:sz w:val="18"/>
                <w:szCs w:val="18"/>
                <w:b w:val="1"/>
                <w:bCs w:val="1"/>
                <w:color w:val="auto"/>
                <w:w w:val="87"/>
              </w:rPr>
              <w:t>IT Staffing Services Segment</w:t>
            </w:r>
          </w:p>
        </w:tc>
        <w:tc>
          <w:tcPr>
            <w:tcW w:w="2580" w:type="dxa"/>
            <w:vAlign w:val="bottom"/>
            <w:tcBorders>
              <w:bottom w:val="single" w:sz="8" w:color="CCEEFF"/>
            </w:tcBorders>
            <w:gridSpan w:val="2"/>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Time-and-material Contracts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44,708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40,811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85,689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83,876</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0"/>
        </w:trPr>
        <w:tc>
          <w:tcPr>
            <w:tcW w:w="20" w:type="dxa"/>
            <w:vAlign w:val="bottom"/>
          </w:tcPr>
          <w:p>
            <w:pPr>
              <w:spacing w:after="0"/>
              <w:rPr>
                <w:sz w:val="19"/>
                <w:szCs w:val="19"/>
                <w:color w:val="auto"/>
              </w:rPr>
            </w:pPr>
          </w:p>
        </w:tc>
        <w:tc>
          <w:tcPr>
            <w:tcW w:w="476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44,708</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40,811</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85,689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83,876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7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53,658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47,583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103,433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98,008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160" w:firstLine="436"/>
        <w:spacing w:after="0" w:line="255" w:lineRule="auto"/>
        <w:rPr>
          <w:sz w:val="20"/>
          <w:szCs w:val="20"/>
          <w:color w:val="auto"/>
        </w:rPr>
      </w:pPr>
      <w:r>
        <w:rPr>
          <w:rFonts w:ascii="Arial" w:cs="Arial" w:eastAsia="Arial" w:hAnsi="Arial"/>
          <w:sz w:val="18"/>
          <w:szCs w:val="18"/>
          <w:color w:val="auto"/>
        </w:rPr>
        <w:t>For the three months ended June 30, 2021, the Company had one client that exceeded 10% of total revenue (CGI = 14.8%). For the six months ended June 30, 2021, the Company had one client that exceeded 10% of total revenue (CGI = 14.9%). For the three months ended June 30, 2020, the Company had one client that exceeded 10% of total revenue (CGI = 15.1%). For the six months ended June 30, 2020, the Company had one client that exceeded 10% of total revenue (CGI = 13.9%).</w:t>
      </w:r>
    </w:p>
    <w:p>
      <w:pPr>
        <w:spacing w:after="0" w:line="189" w:lineRule="exact"/>
        <w:rPr>
          <w:sz w:val="20"/>
          <w:szCs w:val="20"/>
          <w:color w:val="auto"/>
        </w:rPr>
      </w:pPr>
    </w:p>
    <w:p>
      <w:pPr>
        <w:ind w:left="180" w:firstLine="436"/>
        <w:spacing w:after="0" w:line="255" w:lineRule="auto"/>
        <w:rPr>
          <w:sz w:val="20"/>
          <w:szCs w:val="20"/>
          <w:color w:val="auto"/>
        </w:rPr>
      </w:pPr>
      <w:r>
        <w:rPr>
          <w:rFonts w:ascii="Arial" w:cs="Arial" w:eastAsia="Arial" w:hAnsi="Arial"/>
          <w:sz w:val="18"/>
          <w:szCs w:val="18"/>
          <w:color w:val="auto"/>
        </w:rPr>
        <w:t>The Company’s top ten clients represented approximately 48% and 49% of total revenues for the three months ended June 30, 2021 and 2020, respectively. For the six months ended June 30, 2021 and 2020, the Company’s top ten clients represented approximately 48% and 47% of total revenues, respectively. The following table presents our revenue from external customers disaggregated by geography, based on the work location of our customers:</w:t>
      </w:r>
    </w:p>
    <w:p>
      <w:pPr>
        <w:spacing w:after="0" w:line="19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left="425"/>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r>
      <w:tr>
        <w:trPr>
          <w:trHeight w:val="154"/>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105"/>
              <w:spacing w:after="0" w:line="154"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5"/>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40"/>
              <w:spacing w:after="0" w:line="154"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0"/>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w w:val="89"/>
              </w:rPr>
              <w:t>(Amounts in thousands)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89"/>
              </w:rPr>
              <w:t>(Amounts in thousands)</w:t>
            </w:r>
          </w:p>
        </w:tc>
        <w:tc>
          <w:tcPr>
            <w:tcW w:w="60" w:type="dxa"/>
            <w:vAlign w:val="bottom"/>
          </w:tcPr>
          <w:p>
            <w:pPr>
              <w:spacing w:after="0"/>
              <w:rPr>
                <w:sz w:val="12"/>
                <w:szCs w:val="12"/>
                <w:color w:val="auto"/>
              </w:rPr>
            </w:pPr>
          </w:p>
        </w:tc>
      </w:tr>
      <w:tr>
        <w:trPr>
          <w:trHeight w:val="214"/>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$ 51,532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46,777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$ 96,127</w:t>
            </w:r>
          </w:p>
        </w:tc>
        <w:tc>
          <w:tcPr>
            <w:tcW w:w="60" w:type="dxa"/>
            <w:vAlign w:val="bottom"/>
            <w:shd w:val="clear" w:color="auto" w:fill="CCEEFF"/>
          </w:tcPr>
          <w:p>
            <w:pPr>
              <w:spacing w:after="0"/>
              <w:rPr>
                <w:sz w:val="18"/>
                <w:szCs w:val="18"/>
                <w:color w:val="auto"/>
              </w:rPr>
            </w:pPr>
          </w:p>
        </w:tc>
      </w:tr>
      <w:tr>
        <w:trPr>
          <w:trHeight w:val="214"/>
        </w:trPr>
        <w:tc>
          <w:tcPr>
            <w:tcW w:w="6340" w:type="dxa"/>
            <w:vAlign w:val="bottom"/>
          </w:tcPr>
          <w:p>
            <w:pPr>
              <w:spacing w:after="0"/>
              <w:rPr>
                <w:sz w:val="20"/>
                <w:szCs w:val="20"/>
                <w:color w:val="auto"/>
              </w:rPr>
            </w:pPr>
            <w:r>
              <w:rPr>
                <w:rFonts w:ascii="Arial" w:cs="Arial" w:eastAsia="Arial" w:hAnsi="Arial"/>
                <w:sz w:val="18"/>
                <w:szCs w:val="18"/>
                <w:color w:val="auto"/>
              </w:rPr>
              <w:t>Canada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60" w:type="dxa"/>
            <w:vAlign w:val="bottom"/>
          </w:tcPr>
          <w:p>
            <w:pPr>
              <w:spacing w:after="0"/>
              <w:rPr>
                <w:sz w:val="18"/>
                <w:szCs w:val="18"/>
                <w:color w:val="auto"/>
              </w:rPr>
            </w:pPr>
          </w:p>
        </w:tc>
      </w:tr>
      <w:tr>
        <w:trPr>
          <w:trHeight w:val="214"/>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r>
      <w:tr>
        <w:trPr>
          <w:trHeight w:val="220"/>
        </w:trPr>
        <w:tc>
          <w:tcPr>
            <w:tcW w:w="6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$ 53,658</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47,583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103,433</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$ 98,008</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600" w:hanging="426"/>
        <w:spacing w:after="0"/>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left="180" w:right="60" w:firstLine="436"/>
        <w:spacing w:after="0" w:line="288" w:lineRule="auto"/>
        <w:rPr>
          <w:sz w:val="20"/>
          <w:szCs w:val="20"/>
          <w:color w:val="auto"/>
        </w:rPr>
      </w:pPr>
      <w:r>
        <w:rPr>
          <w:rFonts w:ascii="Arial" w:cs="Arial" w:eastAsia="Arial" w:hAnsi="Arial"/>
          <w:sz w:val="16"/>
          <w:szCs w:val="16"/>
          <w:color w:val="auto"/>
        </w:rPr>
        <w:t>On October 1, 2020, Mastech Digital, Inc., through its wholly-owned subsidiary Mastech Digital Data, Inc., acquired all of the outstanding shares of AmberLeaf Partners, Inc. (“AmberLeaf”). Under the terms of the Share Purchase Agreement executed in connection with the AmberLeaf acquisition (the “Purchase Agreement”), the Company paid at the closing of the acquisition approximately $9.7 million in cash. The Purchase Agreement also requires the Company to pay to the former shareholders of AmberLeaf up to $4.5 million in deferred cash payments, which payments are contingent upon the AmberLeaf business achieving specific revenue growth and EBITDA margin targets. The amount of these deferred cash payments, if any, is based upon the revenue growth and EBITDA margins of the AmberLeaf business for the 12-month period beginning on January 1, 2021 and for the 12-month period beginning January 1, 2022, as described more fully in the Purchase Agreement.</w:t>
      </w:r>
    </w:p>
    <w:p>
      <w:pPr>
        <w:spacing w:after="0" w:line="164" w:lineRule="exact"/>
        <w:rPr>
          <w:sz w:val="20"/>
          <w:szCs w:val="20"/>
          <w:color w:val="auto"/>
        </w:rPr>
      </w:pPr>
    </w:p>
    <w:p>
      <w:pPr>
        <w:ind w:left="180" w:firstLine="436"/>
        <w:spacing w:after="0" w:line="268" w:lineRule="auto"/>
        <w:rPr>
          <w:sz w:val="20"/>
          <w:szCs w:val="20"/>
          <w:color w:val="auto"/>
        </w:rPr>
      </w:pPr>
      <w:r>
        <w:rPr>
          <w:rFonts w:ascii="Arial" w:cs="Arial" w:eastAsia="Arial" w:hAnsi="Arial"/>
          <w:sz w:val="17"/>
          <w:szCs w:val="17"/>
          <w:color w:val="auto"/>
        </w:rPr>
        <w:t>To fund the acquisition, on October 1, 2020 the Company entered into a Third Amendment (the “Third Amendment”) to its Credit Agreement, as amended and dated April 20, 2018. The Third Amendment amends the Credit Agreement by, among other things, (1) increasing the aggregate commitment amount of the revolving credit facility to $30 million (an increase of $7.5 million); (2) providing for the Term Loan facility in the aggregate amount of $17.5 million (an increase of $10 million); (3) providing for an increase in the total commitment amount to the facility in an aggregate amount not to exceed $15 million, upon the satisfaction of certain conditions; and (4) amending the financial covenant in the Credit Agreement related to the Company’s Fixed Charge Coverage Ratio (as defined in the Credit Agreement) by increasing the minimum permitted Fixed Charge Coverage Ratio for each of the fiscal quarters ending on or after September 30, 2020.</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82"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right="460" w:firstLine="436"/>
        <w:spacing w:after="0" w:line="270" w:lineRule="auto"/>
        <w:rPr>
          <w:sz w:val="20"/>
          <w:szCs w:val="20"/>
          <w:color w:val="auto"/>
        </w:rPr>
      </w:pPr>
      <w:r>
        <w:rPr>
          <w:rFonts w:ascii="Arial" w:cs="Arial" w:eastAsia="Arial" w:hAnsi="Arial"/>
          <w:sz w:val="18"/>
          <w:szCs w:val="18"/>
          <w:color w:val="auto"/>
        </w:rPr>
        <w:t>The acquisition was accounted for using the acquisition method of accounting. The acquisition method of accounting requires that the assets acquired and liabilities assumed be measured at their fair value as of the closing date.</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fair value of consideration for the acquired business on the October 1, 2020 closing date:</w:t>
      </w:r>
    </w:p>
    <w:p>
      <w:pPr>
        <w:spacing w:after="0" w:line="228" w:lineRule="exact"/>
        <w:rPr>
          <w:sz w:val="20"/>
          <w:szCs w:val="20"/>
          <w:color w:val="auto"/>
        </w:rPr>
      </w:pPr>
    </w:p>
    <w:tbl>
      <w:tblPr>
        <w:tblLayout w:type="fixed"/>
        <w:tblInd w:w="1920" w:type="dxa"/>
        <w:tblCellMar>
          <w:top w:w="0" w:type="dxa"/>
          <w:left w:w="0" w:type="dxa"/>
          <w:bottom w:w="0" w:type="dxa"/>
          <w:right w:w="0" w:type="dxa"/>
        </w:tblCellMar>
      </w:tblPr>
      <w:tr>
        <w:trPr>
          <w:trHeight w:val="181"/>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Cash purchase price at closing</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9,664</w:t>
            </w: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payout of contingent consideration (1)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7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Fair Value of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12,546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9" w:lineRule="exact"/>
        <w:rPr>
          <w:sz w:val="20"/>
          <w:szCs w:val="20"/>
          <w:color w:val="auto"/>
        </w:rPr>
      </w:pPr>
    </w:p>
    <w:p>
      <w:pPr>
        <w:ind w:left="600" w:hanging="426"/>
        <w:spacing w:after="0" w:line="255"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a valuation conducted by an independent third party, the fair value of contingent consideration at the closing date was determined to be $2,882,000. During the three month period ended June 30, 2021, the Company revalued the contingent consideration liability related to the AmberLeaf acquisition after determining that relevant conditions for payment of such liabilities were unlikely to be fully satisfied. The revaluation resulted in a $2.0 million reduction to the contingent consideration liability.</w:t>
      </w:r>
    </w:p>
    <w:p>
      <w:pPr>
        <w:spacing w:after="0" w:line="188"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The cash purchase price at closing was paid with funds obtained from the following sources:</w:t>
      </w:r>
    </w:p>
    <w:p>
      <w:pPr>
        <w:spacing w:after="0" w:line="228" w:lineRule="exact"/>
        <w:rPr>
          <w:sz w:val="20"/>
          <w:szCs w:val="20"/>
          <w:color w:val="auto"/>
        </w:rPr>
      </w:pPr>
    </w:p>
    <w:tbl>
      <w:tblPr>
        <w:tblLayout w:type="fixed"/>
        <w:tblInd w:w="1920" w:type="dxa"/>
        <w:tblCellMar>
          <w:top w:w="0" w:type="dxa"/>
          <w:left w:w="0" w:type="dxa"/>
          <w:bottom w:w="0" w:type="dxa"/>
          <w:right w:w="0" w:type="dxa"/>
        </w:tblCellMar>
      </w:tblPr>
      <w:tr>
        <w:trPr>
          <w:trHeight w:val="18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68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Cash balances on hand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Increase in term loan debt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r>
      <w:tr>
        <w:trPr>
          <w:trHeight w:val="220"/>
        </w:trPr>
        <w:tc>
          <w:tcPr>
            <w:tcW w:w="20" w:type="dxa"/>
            <w:vAlign w:val="bottom"/>
          </w:tcPr>
          <w:p>
            <w:pPr>
              <w:spacing w:after="0"/>
              <w:rPr>
                <w:sz w:val="19"/>
                <w:szCs w:val="19"/>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b w:val="1"/>
                <w:bCs w:val="1"/>
                <w:color w:val="auto"/>
              </w:rPr>
              <w:t>Cash Paid at Closing</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220" w:firstLine="436"/>
        <w:spacing w:after="0" w:line="255" w:lineRule="auto"/>
        <w:rPr>
          <w:sz w:val="20"/>
          <w:szCs w:val="20"/>
          <w:color w:val="auto"/>
        </w:rPr>
      </w:pPr>
      <w:r>
        <w:rPr>
          <w:rFonts w:ascii="Arial" w:cs="Arial" w:eastAsia="Arial" w:hAnsi="Arial"/>
          <w:sz w:val="18"/>
          <w:szCs w:val="18"/>
          <w:color w:val="auto"/>
        </w:rPr>
        <w:t>The allocation of the purchase price was based on estimates of the fair value of assets acquired and liabilities assumed as of October 1, 2020, as set forth below. The excess purchase price over the fair values of the net tangible assets and identifiable intangible assets was recorded as goodwill, which includes value associated with the assembled workforce. Goodwill is expected to be largely deductible for tax purposes. The valuation of net assets acquired is as follows:</w:t>
      </w:r>
    </w:p>
    <w:p>
      <w:pPr>
        <w:spacing w:after="0" w:line="196" w:lineRule="exact"/>
        <w:rPr>
          <w:sz w:val="20"/>
          <w:szCs w:val="20"/>
          <w:color w:val="auto"/>
        </w:rPr>
      </w:pPr>
    </w:p>
    <w:tbl>
      <w:tblPr>
        <w:tblLayout w:type="fixed"/>
        <w:tblInd w:w="1920" w:type="dxa"/>
        <w:tblCellMar>
          <w:top w:w="0" w:type="dxa"/>
          <w:left w:w="0" w:type="dxa"/>
          <w:bottom w:w="0" w:type="dxa"/>
          <w:right w:w="0" w:type="dxa"/>
        </w:tblCellMar>
      </w:tblPr>
      <w:tr>
        <w:trPr>
          <w:trHeight w:val="181"/>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Cash on hand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rPr>
              <w:t>319</w:t>
            </w: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Working capital assets, net of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Arial" w:cs="Arial" w:eastAsia="Arial" w:hAnsi="Arial"/>
                <w:sz w:val="18"/>
                <w:szCs w:val="18"/>
                <w:color w:val="auto"/>
              </w:rPr>
              <w:t>Client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Covenant not-to-compete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 w:type="dxa"/>
            <w:vAlign w:val="bottom"/>
            <w:shd w:val="clear" w:color="auto" w:fill="CCEEFF"/>
          </w:tcPr>
          <w:p>
            <w:pPr>
              <w:spacing w:after="0"/>
              <w:rPr>
                <w:sz w:val="18"/>
                <w:szCs w:val="18"/>
                <w:color w:val="auto"/>
              </w:rPr>
            </w:pPr>
          </w:p>
        </w:tc>
      </w:tr>
      <w:tr>
        <w:trPr>
          <w:trHeight w:val="220"/>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4,670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6,404</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74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12,546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60" w:firstLine="436"/>
        <w:spacing w:after="0" w:line="253" w:lineRule="auto"/>
        <w:rPr>
          <w:sz w:val="20"/>
          <w:szCs w:val="20"/>
          <w:color w:val="auto"/>
        </w:rPr>
      </w:pPr>
      <w:r>
        <w:rPr>
          <w:rFonts w:ascii="Arial" w:cs="Arial" w:eastAsia="Arial" w:hAnsi="Arial"/>
          <w:sz w:val="18"/>
          <w:szCs w:val="18"/>
          <w:color w:val="auto"/>
        </w:rPr>
        <w:t>The fair value of identifiable intangible assets has been estimated using the income approach through a discounted cash flow analysis. Specifically, the Company used the income approach through an excess earnings analysis to determine the fair value of client relationships. The value applied to the covenant not-to-compete was based on an income approach using a “with or without” analysis of this covenant in place. The trade name and technology were valued using the income approach—relief from royalty method. All identifiable intangibles are considered level 3 inputs under the fair value measurement and disclosure guidance.</w:t>
      </w:r>
    </w:p>
    <w:p>
      <w:pPr>
        <w:spacing w:after="0" w:line="191" w:lineRule="exact"/>
        <w:rPr>
          <w:sz w:val="20"/>
          <w:szCs w:val="20"/>
          <w:color w:val="auto"/>
        </w:rPr>
      </w:pPr>
    </w:p>
    <w:p>
      <w:pPr>
        <w:ind w:left="180" w:right="440" w:firstLine="436"/>
        <w:spacing w:after="0" w:line="300" w:lineRule="auto"/>
        <w:rPr>
          <w:sz w:val="20"/>
          <w:szCs w:val="20"/>
          <w:color w:val="auto"/>
        </w:rPr>
      </w:pPr>
      <w:r>
        <w:rPr>
          <w:rFonts w:ascii="Arial" w:cs="Arial" w:eastAsia="Arial" w:hAnsi="Arial"/>
          <w:sz w:val="17"/>
          <w:szCs w:val="17"/>
          <w:color w:val="auto"/>
        </w:rPr>
        <w:t>The Company incurred $650,000 of transaction expenses related to the acquisition in 2020 inclusive of the write-off of $185,000 of deferred finance costs. No transaction costs were incurred for the three and six month periods ended June 30, 2021 and 2020.</w:t>
      </w:r>
    </w:p>
    <w:p>
      <w:pPr>
        <w:spacing w:after="0" w:line="153" w:lineRule="exact"/>
        <w:rPr>
          <w:sz w:val="20"/>
          <w:szCs w:val="20"/>
          <w:color w:val="auto"/>
        </w:rPr>
      </w:pPr>
    </w:p>
    <w:p>
      <w:pPr>
        <w:ind w:left="180" w:right="380" w:firstLine="436"/>
        <w:spacing w:after="0" w:line="259" w:lineRule="auto"/>
        <w:rPr>
          <w:sz w:val="20"/>
          <w:szCs w:val="20"/>
          <w:color w:val="auto"/>
        </w:rPr>
      </w:pPr>
      <w:r>
        <w:rPr>
          <w:rFonts w:ascii="Arial" w:cs="Arial" w:eastAsia="Arial" w:hAnsi="Arial"/>
          <w:sz w:val="18"/>
          <w:szCs w:val="18"/>
          <w:color w:val="auto"/>
        </w:rPr>
        <w:t>Included in the Condensed Statement of Operations for the three and six month periods ended June 30, 2021 are revenues of $1.9 million and $3.8 million, respectively, and net income of approximately $0.1 million and breakeven (excluding the impact of the contingent consideration revaluation), respectively, applicable to the AmberLeaf operations acquired on October 1, 2020.</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82"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reflects the Company’s unaudited pro forma results had the results of AmberLeaf been included for all periods presented:</w:t>
      </w:r>
    </w:p>
    <w:p>
      <w:pPr>
        <w:spacing w:after="0" w:line="26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w w:val="92"/>
              </w:rPr>
              <w:t>Three Months Ended 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18"/>
        </w:trPr>
        <w:tc>
          <w:tcPr>
            <w:tcW w:w="4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81"/>
              <w:spacing w:after="0" w:line="118"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99"/>
              <w:spacing w:after="0" w:line="118" w:lineRule="exact"/>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41"/>
              <w:spacing w:after="0" w:line="118"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77"/>
              <w:spacing w:after="0" w:line="118"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0"/>
                <w:szCs w:val="10"/>
                <w:color w:val="auto"/>
              </w:rPr>
            </w:pPr>
          </w:p>
        </w:tc>
      </w:tr>
      <w:tr>
        <w:trPr>
          <w:trHeight w:val="170"/>
        </w:trPr>
        <w:tc>
          <w:tcPr>
            <w:tcW w:w="4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21"/>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w w:val="94"/>
              </w:rPr>
              <w:t>Pro Forma</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r>
      <w:tr>
        <w:trPr>
          <w:trHeight w:val="207"/>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(Amounts in thousands, except per share data)</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4540" w:type="dxa"/>
            <w:vAlign w:val="bottom"/>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53,658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50,217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103,433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103,851</w:t>
            </w:r>
          </w:p>
        </w:tc>
        <w:tc>
          <w:tcPr>
            <w:tcW w:w="60" w:type="dxa"/>
            <w:vAlign w:val="bottom"/>
          </w:tcPr>
          <w:p>
            <w:pPr>
              <w:spacing w:after="0"/>
              <w:rPr>
                <w:sz w:val="18"/>
                <w:szCs w:val="18"/>
                <w:color w:val="auto"/>
              </w:rPr>
            </w:pPr>
          </w:p>
        </w:tc>
      </w:tr>
      <w:tr>
        <w:trPr>
          <w:trHeight w:val="214"/>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60" w:type="dxa"/>
            <w:vAlign w:val="bottom"/>
            <w:shd w:val="clear" w:color="auto" w:fill="CCEEFF"/>
          </w:tcPr>
          <w:p>
            <w:pPr>
              <w:spacing w:after="0"/>
              <w:rPr>
                <w:sz w:val="18"/>
                <w:szCs w:val="18"/>
                <w:color w:val="auto"/>
              </w:rPr>
            </w:pPr>
          </w:p>
        </w:tc>
      </w:t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r>
    </w:tbl>
    <w:p>
      <w:pPr>
        <w:spacing w:after="0" w:line="186" w:lineRule="exact"/>
        <w:rPr>
          <w:sz w:val="20"/>
          <w:szCs w:val="20"/>
          <w:color w:val="auto"/>
        </w:rPr>
      </w:pPr>
    </w:p>
    <w:p>
      <w:pPr>
        <w:jc w:val="both"/>
        <w:ind w:left="180" w:firstLine="436"/>
        <w:spacing w:after="0" w:line="259" w:lineRule="auto"/>
        <w:rPr>
          <w:sz w:val="20"/>
          <w:szCs w:val="20"/>
          <w:color w:val="auto"/>
        </w:rPr>
      </w:pPr>
      <w:r>
        <w:rPr>
          <w:rFonts w:ascii="Arial" w:cs="Arial" w:eastAsia="Arial" w:hAnsi="Arial"/>
          <w:sz w:val="18"/>
          <w:szCs w:val="18"/>
          <w:color w:val="auto"/>
        </w:rPr>
        <w:t>The information above does not reflect all of the operating efficiencies or inefficiencies that may have resulted from the AmberLeaf acquisition in those periods prior to the acquisition. Therefore, the unaudited pro forma information above is not necessarily indicative of results that would have been achieved had the business been combined during all periods presented.</w:t>
      </w:r>
    </w:p>
    <w:p>
      <w:pPr>
        <w:spacing w:after="0" w:line="328" w:lineRule="exact"/>
        <w:rPr>
          <w:sz w:val="20"/>
          <w:szCs w:val="20"/>
          <w:color w:val="auto"/>
        </w:rPr>
      </w:pPr>
    </w:p>
    <w:p>
      <w:pPr>
        <w:ind w:left="600" w:hanging="426"/>
        <w:spacing w:after="0"/>
        <w:tabs>
          <w:tab w:leader="none" w:pos="6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18" w:lineRule="exact"/>
        <w:rPr>
          <w:sz w:val="20"/>
          <w:szCs w:val="20"/>
          <w:color w:val="auto"/>
        </w:rPr>
      </w:pPr>
    </w:p>
    <w:p>
      <w:pPr>
        <w:ind w:left="180" w:right="260" w:firstLine="436"/>
        <w:spacing w:after="0" w:line="259" w:lineRule="auto"/>
        <w:rPr>
          <w:sz w:val="20"/>
          <w:szCs w:val="20"/>
          <w:color w:val="auto"/>
        </w:rPr>
      </w:pPr>
      <w:r>
        <w:rPr>
          <w:rFonts w:ascii="Arial" w:cs="Arial" w:eastAsia="Arial" w:hAnsi="Arial"/>
          <w:sz w:val="18"/>
          <w:szCs w:val="18"/>
          <w:color w:val="auto"/>
        </w:rPr>
        <w:t>Goodwill related to our June 15, 2015 acquisition of Hudson Global Resources Management’s U.S. IT staffing business (“Hudson IT”) totaled $8.4 million. Goodwill related to our July 13, 2017 acquisition of the services division of InfoTrellis totaled $27.4 million. Goodwill related to our October 1, 2020 acquisition of AmberLeaf totaled $6.4 million.</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is amortizing the identifiable intangible assets on a straight-line basis over estimated average lives ranging from 3 to 12 years.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Identifiable intangible assets were comprised of the following as of June 30, 2021 and December 31, 2020:</w:t>
      </w:r>
    </w:p>
    <w:p>
      <w:pPr>
        <w:spacing w:after="0" w:line="239"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89"/>
              </w:rPr>
              <w:t>As of June 30, 2021</w:t>
            </w: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6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Amortization</w:t>
            </w:r>
          </w:p>
        </w:tc>
        <w:tc>
          <w:tcPr>
            <w:tcW w:w="1540" w:type="dxa"/>
            <w:vAlign w:val="bottom"/>
            <w:gridSpan w:val="3"/>
          </w:tcPr>
          <w:p>
            <w:pPr>
              <w:jc w:val="center"/>
              <w:ind w:left="482"/>
              <w:spacing w:after="0" w:line="118" w:lineRule="exact"/>
              <w:rPr>
                <w:sz w:val="20"/>
                <w:szCs w:val="20"/>
                <w:color w:val="auto"/>
              </w:rPr>
            </w:pPr>
            <w:r>
              <w:rPr>
                <w:rFonts w:ascii="Arial" w:cs="Arial" w:eastAsia="Arial" w:hAnsi="Arial"/>
                <w:sz w:val="13"/>
                <w:szCs w:val="13"/>
                <w:b w:val="1"/>
                <w:bCs w:val="1"/>
                <w:color w:val="auto"/>
                <w:w w:val="99"/>
              </w:rPr>
              <w:t>Gross Carrying</w:t>
            </w:r>
          </w:p>
        </w:tc>
        <w:tc>
          <w:tcPr>
            <w:tcW w:w="1440" w:type="dxa"/>
            <w:vAlign w:val="bottom"/>
            <w:gridSpan w:val="3"/>
          </w:tcPr>
          <w:p>
            <w:pPr>
              <w:ind w:left="580"/>
              <w:spacing w:after="0" w:line="118" w:lineRule="exact"/>
              <w:rPr>
                <w:sz w:val="20"/>
                <w:szCs w:val="20"/>
                <w:color w:val="auto"/>
              </w:rPr>
            </w:pPr>
            <w:r>
              <w:rPr>
                <w:rFonts w:ascii="Arial" w:cs="Arial" w:eastAsia="Arial" w:hAnsi="Arial"/>
                <w:sz w:val="13"/>
                <w:szCs w:val="13"/>
                <w:b w:val="1"/>
                <w:bCs w:val="1"/>
                <w:color w:val="auto"/>
                <w:w w:val="99"/>
              </w:rPr>
              <w:t>Accumulative</w:t>
            </w:r>
          </w:p>
        </w:tc>
        <w:tc>
          <w:tcPr>
            <w:tcW w:w="1400" w:type="dxa"/>
            <w:vAlign w:val="bottom"/>
            <w:gridSpan w:val="3"/>
          </w:tcPr>
          <w:p>
            <w:pPr>
              <w:jc w:val="center"/>
              <w:ind w:left="502"/>
              <w:spacing w:after="0" w:line="118"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460" w:type="dxa"/>
            <w:vAlign w:val="bottom"/>
            <w:gridSpan w:val="2"/>
            <w:vMerge w:val="continue"/>
          </w:tcPr>
          <w:p>
            <w:pPr>
              <w:spacing w:after="0"/>
              <w:rPr>
                <w:sz w:val="12"/>
                <w:szCs w:val="12"/>
                <w:color w:val="auto"/>
              </w:rPr>
            </w:pPr>
          </w:p>
        </w:tc>
        <w:tc>
          <w:tcPr>
            <w:tcW w:w="2120" w:type="dxa"/>
            <w:vAlign w:val="bottom"/>
            <w:gridSpan w:val="2"/>
          </w:tcPr>
          <w:p>
            <w:pPr>
              <w:jc w:val="center"/>
              <w:ind w:left="953"/>
              <w:spacing w:after="0" w:line="123" w:lineRule="exact"/>
              <w:rPr>
                <w:sz w:val="20"/>
                <w:szCs w:val="20"/>
                <w:color w:val="auto"/>
              </w:rPr>
            </w:pPr>
            <w:r>
              <w:rPr>
                <w:rFonts w:ascii="Arial" w:cs="Arial" w:eastAsia="Arial" w:hAnsi="Arial"/>
                <w:sz w:val="14"/>
                <w:szCs w:val="14"/>
                <w:b w:val="1"/>
                <w:bCs w:val="1"/>
                <w:color w:val="auto"/>
                <w:w w:val="93"/>
              </w:rPr>
              <w:t>Period (In Years)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35"/>
              <w:spacing w:after="0" w:line="123" w:lineRule="exact"/>
              <w:rPr>
                <w:sz w:val="20"/>
                <w:szCs w:val="20"/>
                <w:color w:val="auto"/>
              </w:rPr>
            </w:pPr>
            <w:r>
              <w:rPr>
                <w:rFonts w:ascii="Arial" w:cs="Arial" w:eastAsia="Arial" w:hAnsi="Arial"/>
                <w:sz w:val="14"/>
                <w:szCs w:val="14"/>
                <w:b w:val="1"/>
                <w:bCs w:val="1"/>
                <w:color w:val="auto"/>
                <w:w w:val="90"/>
              </w:rPr>
              <w:t>Value</w:t>
            </w:r>
          </w:p>
        </w:tc>
        <w:tc>
          <w:tcPr>
            <w:tcW w:w="580" w:type="dxa"/>
            <w:vAlign w:val="bottom"/>
          </w:tcPr>
          <w:p>
            <w:pPr>
              <w:spacing w:after="0"/>
              <w:rPr>
                <w:sz w:val="12"/>
                <w:szCs w:val="12"/>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4"/>
                <w:szCs w:val="14"/>
                <w:b w:val="1"/>
                <w:bCs w:val="1"/>
                <w:color w:val="auto"/>
                <w:w w:val="95"/>
              </w:rPr>
              <w:t>Amortization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IT Staffing Services:</w:t>
            </w:r>
          </w:p>
        </w:tc>
        <w:tc>
          <w:tcPr>
            <w:tcW w:w="10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7,999</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5,684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Intangible Assets</w:t>
            </w: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12,755</w:t>
            </w: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89"/>
              </w:rPr>
              <w:t>As of December 31, 2020</w:t>
            </w: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6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Amortization</w:t>
            </w:r>
          </w:p>
        </w:tc>
        <w:tc>
          <w:tcPr>
            <w:tcW w:w="1540" w:type="dxa"/>
            <w:vAlign w:val="bottom"/>
            <w:gridSpan w:val="3"/>
          </w:tcPr>
          <w:p>
            <w:pPr>
              <w:jc w:val="center"/>
              <w:ind w:left="482"/>
              <w:spacing w:after="0" w:line="118" w:lineRule="exact"/>
              <w:rPr>
                <w:sz w:val="20"/>
                <w:szCs w:val="20"/>
                <w:color w:val="auto"/>
              </w:rPr>
            </w:pPr>
            <w:r>
              <w:rPr>
                <w:rFonts w:ascii="Arial" w:cs="Arial" w:eastAsia="Arial" w:hAnsi="Arial"/>
                <w:sz w:val="13"/>
                <w:szCs w:val="13"/>
                <w:b w:val="1"/>
                <w:bCs w:val="1"/>
                <w:color w:val="auto"/>
                <w:w w:val="99"/>
              </w:rPr>
              <w:t>Gross Carrying</w:t>
            </w:r>
          </w:p>
        </w:tc>
        <w:tc>
          <w:tcPr>
            <w:tcW w:w="1440" w:type="dxa"/>
            <w:vAlign w:val="bottom"/>
            <w:gridSpan w:val="3"/>
          </w:tcPr>
          <w:p>
            <w:pPr>
              <w:ind w:left="580"/>
              <w:spacing w:after="0" w:line="118" w:lineRule="exact"/>
              <w:rPr>
                <w:sz w:val="20"/>
                <w:szCs w:val="20"/>
                <w:color w:val="auto"/>
              </w:rPr>
            </w:pPr>
            <w:r>
              <w:rPr>
                <w:rFonts w:ascii="Arial" w:cs="Arial" w:eastAsia="Arial" w:hAnsi="Arial"/>
                <w:sz w:val="13"/>
                <w:szCs w:val="13"/>
                <w:b w:val="1"/>
                <w:bCs w:val="1"/>
                <w:color w:val="auto"/>
                <w:w w:val="99"/>
              </w:rPr>
              <w:t>Accumulative</w:t>
            </w:r>
          </w:p>
        </w:tc>
        <w:tc>
          <w:tcPr>
            <w:tcW w:w="1400" w:type="dxa"/>
            <w:vAlign w:val="bottom"/>
            <w:gridSpan w:val="3"/>
          </w:tcPr>
          <w:p>
            <w:pPr>
              <w:jc w:val="center"/>
              <w:ind w:left="502"/>
              <w:spacing w:after="0" w:line="118"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460" w:type="dxa"/>
            <w:vAlign w:val="bottom"/>
            <w:gridSpan w:val="2"/>
            <w:vMerge w:val="continue"/>
          </w:tcPr>
          <w:p>
            <w:pPr>
              <w:spacing w:after="0"/>
              <w:rPr>
                <w:sz w:val="12"/>
                <w:szCs w:val="12"/>
                <w:color w:val="auto"/>
              </w:rPr>
            </w:pPr>
          </w:p>
        </w:tc>
        <w:tc>
          <w:tcPr>
            <w:tcW w:w="2120" w:type="dxa"/>
            <w:vAlign w:val="bottom"/>
            <w:gridSpan w:val="2"/>
          </w:tcPr>
          <w:p>
            <w:pPr>
              <w:jc w:val="center"/>
              <w:ind w:left="953"/>
              <w:spacing w:after="0" w:line="123" w:lineRule="exact"/>
              <w:rPr>
                <w:sz w:val="20"/>
                <w:szCs w:val="20"/>
                <w:color w:val="auto"/>
              </w:rPr>
            </w:pPr>
            <w:r>
              <w:rPr>
                <w:rFonts w:ascii="Arial" w:cs="Arial" w:eastAsia="Arial" w:hAnsi="Arial"/>
                <w:sz w:val="14"/>
                <w:szCs w:val="14"/>
                <w:b w:val="1"/>
                <w:bCs w:val="1"/>
                <w:color w:val="auto"/>
                <w:w w:val="93"/>
              </w:rPr>
              <w:t>Period (In Years)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35"/>
              <w:spacing w:after="0" w:line="123" w:lineRule="exact"/>
              <w:rPr>
                <w:sz w:val="20"/>
                <w:szCs w:val="20"/>
                <w:color w:val="auto"/>
              </w:rPr>
            </w:pPr>
            <w:r>
              <w:rPr>
                <w:rFonts w:ascii="Arial" w:cs="Arial" w:eastAsia="Arial" w:hAnsi="Arial"/>
                <w:sz w:val="14"/>
                <w:szCs w:val="14"/>
                <w:b w:val="1"/>
                <w:bCs w:val="1"/>
                <w:color w:val="auto"/>
                <w:w w:val="90"/>
              </w:rPr>
              <w:t>Value</w:t>
            </w:r>
          </w:p>
        </w:tc>
        <w:tc>
          <w:tcPr>
            <w:tcW w:w="580" w:type="dxa"/>
            <w:vAlign w:val="bottom"/>
          </w:tcPr>
          <w:p>
            <w:pPr>
              <w:spacing w:after="0"/>
              <w:rPr>
                <w:sz w:val="12"/>
                <w:szCs w:val="12"/>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4"/>
                <w:szCs w:val="14"/>
                <w:b w:val="1"/>
                <w:bCs w:val="1"/>
                <w:color w:val="auto"/>
                <w:w w:val="95"/>
              </w:rPr>
              <w:t>Amortization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IT Staffing Services:</w:t>
            </w:r>
          </w:p>
        </w:tc>
        <w:tc>
          <w:tcPr>
            <w:tcW w:w="10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7,999</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4,866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Intangible Assets</w:t>
            </w: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11,169</w:t>
            </w: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gridSpan w:val="2"/>
            <w:vMerge w:val="restart"/>
          </w:tcPr>
          <w:p>
            <w:pPr>
              <w:jc w:val="right"/>
              <w:ind w:right="414"/>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2"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right="120" w:firstLine="436"/>
        <w:spacing w:after="0" w:line="259" w:lineRule="auto"/>
        <w:rPr>
          <w:sz w:val="20"/>
          <w:szCs w:val="20"/>
          <w:color w:val="auto"/>
        </w:rPr>
      </w:pPr>
      <w:r>
        <w:rPr>
          <w:rFonts w:ascii="Arial" w:cs="Arial" w:eastAsia="Arial" w:hAnsi="Arial"/>
          <w:sz w:val="18"/>
          <w:szCs w:val="18"/>
          <w:color w:val="auto"/>
        </w:rPr>
        <w:t>Amortization expense for the three and six month periods ended June 30, 2021 totaled $793,000 and $1.6 million, respectively, and is included in selling, general and administrative expenses in the Consolidated Statement of Operations. For the three and six month periods ended June 30, 2020, amortization expense was $669,000 and $1.3 million, respectively.</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estimated aggregate amortization expense for intangible assets for the years ending December 31, 2021 through 2025 is as follows: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44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20" w:type="dxa"/>
            <w:vAlign w:val="bottom"/>
            <w:tcBorders>
              <w:bottom w:val="single" w:sz="8" w:color="auto"/>
            </w:tcBorders>
          </w:tcPr>
          <w:p>
            <w:pPr>
              <w:jc w:val="right"/>
              <w:ind w:right="149"/>
              <w:spacing w:after="0" w:line="154"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jc w:val="right"/>
              <w:ind w:right="164"/>
              <w:spacing w:after="0" w:line="154"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jc w:val="right"/>
              <w:ind w:right="160"/>
              <w:spacing w:after="0" w:line="154" w:lineRule="exact"/>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jc w:val="right"/>
              <w:ind w:right="160"/>
              <w:spacing w:after="0" w:line="154" w:lineRule="exact"/>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jc w:val="right"/>
              <w:ind w:right="20"/>
              <w:spacing w:after="0" w:line="154" w:lineRule="exact"/>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3"/>
                <w:szCs w:val="13"/>
                <w:color w:val="auto"/>
              </w:rPr>
            </w:pPr>
          </w:p>
        </w:tc>
      </w:tr>
      <w:tr>
        <w:trPr>
          <w:trHeight w:val="140"/>
        </w:trPr>
        <w:tc>
          <w:tcPr>
            <w:tcW w:w="44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0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4"/>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8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$3,168</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$2,987</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$2,772</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$2,693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hanging="426"/>
        <w:spacing w:after="0"/>
        <w:tabs>
          <w:tab w:leader="none" w:pos="6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4" w:lineRule="exact"/>
        <w:rPr>
          <w:sz w:val="20"/>
          <w:szCs w:val="20"/>
          <w:color w:val="auto"/>
        </w:rPr>
      </w:pPr>
    </w:p>
    <w:p>
      <w:pPr>
        <w:ind w:left="180" w:right="140" w:firstLine="436"/>
        <w:spacing w:after="0" w:line="253" w:lineRule="auto"/>
        <w:rPr>
          <w:sz w:val="20"/>
          <w:szCs w:val="20"/>
          <w:color w:val="auto"/>
        </w:rPr>
      </w:pPr>
      <w:r>
        <w:rPr>
          <w:rFonts w:ascii="Arial" w:cs="Arial" w:eastAsia="Arial" w:hAnsi="Arial"/>
          <w:sz w:val="18"/>
          <w:szCs w:val="18"/>
          <w:color w:val="auto"/>
        </w:rPr>
        <w:t>The Company rents certain office facilities and equipment under noncancelable operating leases. As of June 30, 2021, approximately 97,000 square feet of office space is utilized for our sales and recruiting offices, delivery centers, and corporate headquarters. All of our leases are classified as operating leases. The average initial lease term is four years. Several leases have an option to renew, at our sole discretion, for an additional term. Our present lease terms range from less than one year to 5.8 years with an average of 3.1 years. Leases with an initial term of twelve months or less are not recorded on the balance sheet.</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balance sheet classification of the lease assets and related lease liabilities:</w:t>
      </w:r>
    </w:p>
    <w:p>
      <w:pPr>
        <w:spacing w:after="0" w:line="252"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June 30, 2021</w:t>
            </w:r>
          </w:p>
        </w:tc>
        <w:tc>
          <w:tcPr>
            <w:tcW w:w="2000" w:type="dxa"/>
            <w:vAlign w:val="bottom"/>
            <w:gridSpan w:val="4"/>
          </w:tcPr>
          <w:p>
            <w:pPr>
              <w:ind w:left="780"/>
              <w:spacing w:after="0"/>
              <w:rPr>
                <w:sz w:val="20"/>
                <w:szCs w:val="20"/>
                <w:color w:val="auto"/>
              </w:rPr>
            </w:pPr>
            <w:r>
              <w:rPr>
                <w:rFonts w:ascii="Arial" w:cs="Arial" w:eastAsia="Arial" w:hAnsi="Arial"/>
                <w:sz w:val="14"/>
                <w:szCs w:val="14"/>
                <w:b w:val="1"/>
                <w:bCs w:val="1"/>
                <w:color w:val="auto"/>
                <w:w w:val="95"/>
              </w:rPr>
              <w:t>December 31, 2020</w:t>
            </w:r>
          </w:p>
        </w:tc>
      </w:tr>
      <w:tr>
        <w:trPr>
          <w:trHeight w:val="140"/>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00"/>
              <w:spacing w:after="0" w:line="141"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4"/>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460" w:type="dxa"/>
            <w:vAlign w:val="bottom"/>
          </w:tcPr>
          <w:p>
            <w:pPr>
              <w:ind w:left="360"/>
              <w:spacing w:after="0"/>
              <w:rPr>
                <w:sz w:val="20"/>
                <w:szCs w:val="20"/>
                <w:color w:val="auto"/>
              </w:rPr>
            </w:pPr>
            <w:r>
              <w:rPr>
                <w:rFonts w:ascii="Arial" w:cs="Arial" w:eastAsia="Arial" w:hAnsi="Arial"/>
                <w:sz w:val="18"/>
                <w:szCs w:val="18"/>
                <w:color w:val="auto"/>
              </w:rPr>
              <w:t>Long-term operating lease right-of-use assets</w:t>
            </w: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5,595</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3,286</w:t>
            </w:r>
          </w:p>
        </w:tc>
        <w:tc>
          <w:tcPr>
            <w:tcW w:w="6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460" w:type="dxa"/>
            <w:vAlign w:val="bottom"/>
          </w:tcPr>
          <w:p>
            <w:pPr>
              <w:ind w:left="360"/>
              <w:spacing w:after="0"/>
              <w:rPr>
                <w:sz w:val="20"/>
                <w:szCs w:val="20"/>
                <w:color w:val="auto"/>
              </w:rPr>
            </w:pPr>
            <w:r>
              <w:rPr>
                <w:rFonts w:ascii="Arial" w:cs="Arial" w:eastAsia="Arial" w:hAnsi="Arial"/>
                <w:sz w:val="18"/>
                <w:szCs w:val="18"/>
                <w:color w:val="auto"/>
              </w:rPr>
              <w:t>Short-term operating lease liability</w:t>
            </w: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1,435</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1,079</w:t>
            </w:r>
          </w:p>
        </w:tc>
        <w:tc>
          <w:tcPr>
            <w:tcW w:w="60" w:type="dxa"/>
            <w:vAlign w:val="bottom"/>
          </w:tcPr>
          <w:p>
            <w:pPr>
              <w:spacing w:after="0"/>
              <w:rPr>
                <w:sz w:val="18"/>
                <w:szCs w:val="18"/>
                <w:color w:val="auto"/>
              </w:rPr>
            </w:pPr>
          </w:p>
        </w:tc>
      </w:tr>
      <w:tr>
        <w:trPr>
          <w:trHeight w:val="214"/>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7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60" w:type="dxa"/>
            <w:vAlign w:val="bottom"/>
            <w:shd w:val="clear" w:color="auto" w:fill="CCEEFF"/>
          </w:tcPr>
          <w:p>
            <w:pPr>
              <w:spacing w:after="0"/>
              <w:rPr>
                <w:sz w:val="18"/>
                <w:szCs w:val="18"/>
                <w:color w:val="auto"/>
              </w:rPr>
            </w:pPr>
          </w:p>
        </w:tc>
      </w:tr>
      <w:tr>
        <w:trPr>
          <w:trHeight w:val="220"/>
        </w:trPr>
        <w:tc>
          <w:tcPr>
            <w:tcW w:w="54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78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Future minimum rental payments for office facilities and equipment under the Company’s noncancelable operating leases are as follows:</w:t>
      </w:r>
    </w:p>
    <w:p>
      <w:pPr>
        <w:spacing w:after="0" w:line="23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as of</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2021 (For remainder of year)</w:t>
            </w:r>
          </w:p>
        </w:tc>
        <w:tc>
          <w:tcPr>
            <w:tcW w:w="20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2022</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2024</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Thereafter</w:t>
            </w:r>
          </w:p>
        </w:tc>
        <w:tc>
          <w:tcPr>
            <w:tcW w:w="1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20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weighted average discount rate used to calculate the present value of future lease payments was 4.2%.</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We recognize rent expense for these leases on a straight-line basis over the lease term. Rental expense for the three and six months ended June 30,</w:t>
      </w:r>
    </w:p>
    <w:p>
      <w:pPr>
        <w:spacing w:after="0" w:line="66" w:lineRule="exact"/>
        <w:rPr>
          <w:sz w:val="20"/>
          <w:szCs w:val="20"/>
          <w:color w:val="auto"/>
        </w:rPr>
      </w:pPr>
    </w:p>
    <w:p>
      <w:pPr>
        <w:ind w:left="180" w:right="480"/>
        <w:spacing w:after="0" w:line="255" w:lineRule="auto"/>
        <w:rPr>
          <w:sz w:val="20"/>
          <w:szCs w:val="20"/>
          <w:color w:val="auto"/>
        </w:rPr>
      </w:pPr>
      <w:r>
        <w:rPr>
          <w:rFonts w:ascii="Arial" w:cs="Arial" w:eastAsia="Arial" w:hAnsi="Arial"/>
          <w:sz w:val="18"/>
          <w:szCs w:val="18"/>
          <w:color w:val="auto"/>
        </w:rPr>
        <w:t>2021 totaled $0.5 million and $0.9 million, respectively. Rental expense for the three and six months ended June 30, 2020 totaled $0.4 million and $0.8 million, respectively.</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82"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right="60" w:firstLine="436"/>
        <w:spacing w:after="0" w:line="300" w:lineRule="auto"/>
        <w:rPr>
          <w:sz w:val="20"/>
          <w:szCs w:val="20"/>
          <w:color w:val="auto"/>
        </w:rPr>
      </w:pPr>
      <w:r>
        <w:rPr>
          <w:rFonts w:ascii="Arial" w:cs="Arial" w:eastAsia="Arial" w:hAnsi="Arial"/>
          <w:sz w:val="17"/>
          <w:szCs w:val="17"/>
          <w:color w:val="auto"/>
        </w:rPr>
        <w:t>Total cash paid for lease liabilities for the three and six months ended June 30, 2021 totaled $0.3 million and $0.7 million, respectively. Total cash paid for lease liabilities for the three and six months ended June 30, 2020 totaled $0.4 million and $0.8 million, respectively.</w:t>
      </w:r>
    </w:p>
    <w:p>
      <w:pPr>
        <w:spacing w:after="0" w:line="153" w:lineRule="exact"/>
        <w:rPr>
          <w:sz w:val="20"/>
          <w:szCs w:val="20"/>
          <w:color w:val="auto"/>
        </w:rPr>
      </w:pPr>
    </w:p>
    <w:p>
      <w:pPr>
        <w:ind w:left="180" w:right="460" w:firstLine="436"/>
        <w:spacing w:after="0" w:line="300" w:lineRule="auto"/>
        <w:rPr>
          <w:sz w:val="20"/>
          <w:szCs w:val="20"/>
          <w:color w:val="auto"/>
        </w:rPr>
      </w:pPr>
      <w:r>
        <w:rPr>
          <w:rFonts w:ascii="Arial" w:cs="Arial" w:eastAsia="Arial" w:hAnsi="Arial"/>
          <w:sz w:val="17"/>
          <w:szCs w:val="17"/>
          <w:color w:val="auto"/>
        </w:rPr>
        <w:t>New leases entered into during the three and six months ended June 30, 2021 totaled $2.8 million and $3.1 million, respectively. New leases entered into during the three and six months ended June 30, 2020 totaled $0 and $0.2 million, respectively.</w:t>
      </w:r>
    </w:p>
    <w:p>
      <w:pPr>
        <w:spacing w:after="0" w:line="153" w:lineRule="exact"/>
        <w:rPr>
          <w:sz w:val="20"/>
          <w:szCs w:val="20"/>
          <w:color w:val="auto"/>
        </w:rPr>
      </w:pPr>
    </w:p>
    <w:p>
      <w:pPr>
        <w:ind w:left="180" w:right="180" w:firstLine="436"/>
        <w:spacing w:after="0" w:line="270" w:lineRule="auto"/>
        <w:rPr>
          <w:sz w:val="20"/>
          <w:szCs w:val="20"/>
          <w:color w:val="auto"/>
        </w:rPr>
      </w:pPr>
      <w:r>
        <w:rPr>
          <w:rFonts w:ascii="Arial" w:cs="Arial" w:eastAsia="Arial" w:hAnsi="Arial"/>
          <w:sz w:val="18"/>
          <w:szCs w:val="18"/>
          <w:color w:val="auto"/>
        </w:rPr>
        <w:t>On April 1, 2021, the Company entered into an operating lease for 35,356 square feet of office space in Chennai, India, which replaces a 19,120 square foot lease.</w:t>
      </w:r>
    </w:p>
    <w:p>
      <w:pPr>
        <w:spacing w:after="0" w:line="318" w:lineRule="exact"/>
        <w:rPr>
          <w:sz w:val="20"/>
          <w:szCs w:val="20"/>
          <w:color w:val="auto"/>
        </w:rPr>
      </w:pPr>
    </w:p>
    <w:p>
      <w:pPr>
        <w:ind w:left="600" w:hanging="426"/>
        <w:spacing w:after="0"/>
        <w:tabs>
          <w:tab w:leader="none" w:pos="6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sz w:val="20"/>
          <w:szCs w:val="20"/>
          <w:color w:val="auto"/>
        </w:rPr>
      </w:pPr>
    </w:p>
    <w:p>
      <w:pPr>
        <w:jc w:val="both"/>
        <w:ind w:left="180" w:right="160" w:firstLine="436"/>
        <w:spacing w:after="0" w:line="306" w:lineRule="auto"/>
        <w:rPr>
          <w:sz w:val="20"/>
          <w:szCs w:val="20"/>
          <w:color w:val="auto"/>
        </w:rPr>
      </w:pPr>
      <w:r>
        <w:rPr>
          <w:rFonts w:ascii="Arial" w:cs="Arial" w:eastAsia="Arial" w:hAnsi="Arial"/>
          <w:sz w:val="16"/>
          <w:szCs w:val="16"/>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294" w:lineRule="exact"/>
        <w:rPr>
          <w:sz w:val="20"/>
          <w:szCs w:val="20"/>
          <w:color w:val="auto"/>
        </w:rPr>
      </w:pPr>
    </w:p>
    <w:p>
      <w:pPr>
        <w:ind w:left="600" w:hanging="426"/>
        <w:spacing w:after="0"/>
        <w:tabs>
          <w:tab w:leader="none" w:pos="6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18" w:lineRule="exact"/>
        <w:rPr>
          <w:sz w:val="20"/>
          <w:szCs w:val="20"/>
          <w:color w:val="auto"/>
        </w:rPr>
      </w:pPr>
    </w:p>
    <w:p>
      <w:pPr>
        <w:ind w:left="180" w:right="60" w:firstLine="436"/>
        <w:spacing w:after="0" w:line="255" w:lineRule="auto"/>
        <w:rPr>
          <w:sz w:val="20"/>
          <w:szCs w:val="20"/>
          <w:color w:val="auto"/>
        </w:rPr>
      </w:pPr>
      <w:r>
        <w:rPr>
          <w:rFonts w:ascii="Arial" w:cs="Arial" w:eastAsia="Arial" w:hAnsi="Arial"/>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six month periods ended June 30, 2021 and 2020.</w:t>
      </w:r>
    </w:p>
    <w:p>
      <w:pPr>
        <w:spacing w:after="0" w:line="332" w:lineRule="exact"/>
        <w:rPr>
          <w:sz w:val="20"/>
          <w:szCs w:val="20"/>
          <w:color w:val="auto"/>
        </w:rPr>
      </w:pPr>
    </w:p>
    <w:p>
      <w:pPr>
        <w:ind w:left="600" w:hanging="426"/>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8" w:lineRule="exact"/>
        <w:rPr>
          <w:sz w:val="20"/>
          <w:szCs w:val="20"/>
          <w:color w:val="auto"/>
        </w:rPr>
      </w:pPr>
    </w:p>
    <w:p>
      <w:pPr>
        <w:ind w:left="180" w:right="140" w:firstLine="436"/>
        <w:spacing w:after="0" w:line="255" w:lineRule="auto"/>
        <w:rPr>
          <w:sz w:val="20"/>
          <w:szCs w:val="20"/>
          <w:color w:val="auto"/>
        </w:rPr>
      </w:pPr>
      <w:r>
        <w:rPr>
          <w:rFonts w:ascii="Arial" w:cs="Arial" w:eastAsia="Arial" w:hAnsi="Arial"/>
          <w:sz w:val="18"/>
          <w:szCs w:val="18"/>
          <w:color w:val="auto"/>
        </w:rPr>
        <w:t>In 2008, the Company adopted a Stock Incentive Plan (the “Plan”) which, as amended, provides that up to 4,900,000 shares of the Company’s Common Stock shall be allocated for issuance to directors, officers and key personnel. Grants under the Plan can be made in the form of stock options, stock appreciation rights, performance shares or stock awards. During the three months ended June 30, 2021 and June 30, 2020, the Company granted no shares under the Plan.</w:t>
      </w:r>
    </w:p>
    <w:p>
      <w:pPr>
        <w:spacing w:after="0" w:line="189" w:lineRule="exact"/>
        <w:rPr>
          <w:sz w:val="20"/>
          <w:szCs w:val="20"/>
          <w:color w:val="auto"/>
        </w:rPr>
      </w:pPr>
    </w:p>
    <w:p>
      <w:pPr>
        <w:ind w:left="180" w:firstLine="436"/>
        <w:spacing w:after="0" w:line="255" w:lineRule="auto"/>
        <w:rPr>
          <w:sz w:val="20"/>
          <w:szCs w:val="20"/>
          <w:color w:val="auto"/>
        </w:rPr>
      </w:pPr>
      <w:r>
        <w:rPr>
          <w:rFonts w:ascii="Arial" w:cs="Arial" w:eastAsia="Arial" w:hAnsi="Arial"/>
          <w:sz w:val="18"/>
          <w:szCs w:val="18"/>
          <w:color w:val="auto"/>
        </w:rPr>
        <w:t>During the six months ended June 30, 2021, the Company granted restricted share units of 11,955 and 270,000 stock option grants at an average strike price of $17.65. During the six months ended June 30, 2020, the Company granted restricted share units of 11,475 and 800,000 stock option grants at an average strike price of $15.49. As of June 30, 2021 and December 31, 2020, there were 343,000 shares and 613,000 shares, respectively, available for grants under the Plan.</w:t>
      </w:r>
    </w:p>
    <w:p>
      <w:pPr>
        <w:spacing w:after="0" w:line="189" w:lineRule="exact"/>
        <w:rPr>
          <w:sz w:val="20"/>
          <w:szCs w:val="20"/>
          <w:color w:val="auto"/>
        </w:rPr>
      </w:pPr>
    </w:p>
    <w:p>
      <w:pPr>
        <w:ind w:left="180" w:right="140" w:firstLine="436"/>
        <w:spacing w:after="0" w:line="259" w:lineRule="auto"/>
        <w:rPr>
          <w:sz w:val="20"/>
          <w:szCs w:val="20"/>
          <w:color w:val="auto"/>
        </w:rPr>
      </w:pPr>
      <w:r>
        <w:rPr>
          <w:rFonts w:ascii="Arial" w:cs="Arial" w:eastAsia="Arial" w:hAnsi="Arial"/>
          <w:sz w:val="18"/>
          <w:szCs w:val="18"/>
          <w:color w:val="auto"/>
        </w:rPr>
        <w:t>Stock-based compensation expense for the three months ended June 30, 2021 and 2020 was $757,000 and $612,000, respectively, and for the six months ended June 30, 2021 and 2020 was $1.4 million and $1.1 million. Stock-based compensation expense is included in selling, general and administrative expenses in the Condensed Consolidated Statements of Operations.</w:t>
      </w:r>
    </w:p>
    <w:p>
      <w:pPr>
        <w:spacing w:after="0" w:line="185" w:lineRule="exact"/>
        <w:rPr>
          <w:sz w:val="20"/>
          <w:szCs w:val="20"/>
          <w:color w:val="auto"/>
        </w:rPr>
      </w:pPr>
    </w:p>
    <w:p>
      <w:pPr>
        <w:jc w:val="both"/>
        <w:ind w:left="180" w:right="180" w:firstLine="436"/>
        <w:spacing w:after="0" w:line="259" w:lineRule="auto"/>
        <w:rPr>
          <w:sz w:val="20"/>
          <w:szCs w:val="20"/>
          <w:color w:val="auto"/>
        </w:rPr>
      </w:pPr>
      <w:r>
        <w:rPr>
          <w:rFonts w:ascii="Arial" w:cs="Arial" w:eastAsia="Arial" w:hAnsi="Arial"/>
          <w:sz w:val="18"/>
          <w:szCs w:val="18"/>
          <w:color w:val="auto"/>
        </w:rPr>
        <w:t>During the three and six months ended June 30, 2021, the Company issued 30,239 shares, respectively, related to the vesting of restricted shares and the exercising of stock options. During the three and six months ended June 30, 2020, the Company issued 317,774 shares, respectively, related to the vesting of restricted shares and the exercising of stock options.</w:t>
      </w:r>
    </w:p>
    <w:p>
      <w:pPr>
        <w:spacing w:after="0" w:line="185" w:lineRule="exact"/>
        <w:rPr>
          <w:sz w:val="20"/>
          <w:szCs w:val="20"/>
          <w:color w:val="auto"/>
        </w:rPr>
      </w:pPr>
    </w:p>
    <w:p>
      <w:pPr>
        <w:ind w:left="180" w:firstLine="436"/>
        <w:spacing w:after="0" w:line="251" w:lineRule="auto"/>
        <w:rPr>
          <w:sz w:val="20"/>
          <w:szCs w:val="20"/>
          <w:color w:val="auto"/>
        </w:rPr>
      </w:pPr>
      <w:r>
        <w:rPr>
          <w:rFonts w:ascii="Arial" w:cs="Arial" w:eastAsia="Arial" w:hAnsi="Arial"/>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was required to be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95" w:lineRule="exact"/>
        <w:rPr>
          <w:sz w:val="20"/>
          <w:szCs w:val="20"/>
          <w:color w:val="auto"/>
        </w:rPr>
      </w:pPr>
    </w:p>
    <w:p>
      <w:pPr>
        <w:ind w:left="180" w:firstLine="436"/>
        <w:spacing w:after="0" w:line="267" w:lineRule="auto"/>
        <w:rPr>
          <w:sz w:val="20"/>
          <w:szCs w:val="20"/>
          <w:color w:val="auto"/>
        </w:rPr>
      </w:pPr>
      <w:r>
        <w:rPr>
          <w:rFonts w:ascii="Arial" w:cs="Arial" w:eastAsia="Arial" w:hAnsi="Arial"/>
          <w:sz w:val="17"/>
          <w:szCs w:val="17"/>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plans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ectPr>
          <w:pgSz w:w="11900" w:h="16838" w:orient="portrait"/>
          <w:cols w:equalWidth="0" w:num="1">
            <w:col w:w="11060"/>
          </w:cols>
          <w:pgMar w:left="320" w:top="482" w:right="519" w:bottom="1440" w:gutter="0" w:footer="0" w:header="0"/>
        </w:sectPr>
      </w:pP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60"/>
          </w:cols>
          <w:pgMar w:left="320" w:top="482" w:right="5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right="20" w:firstLine="436"/>
        <w:spacing w:after="0" w:line="292" w:lineRule="auto"/>
        <w:rPr>
          <w:sz w:val="20"/>
          <w:szCs w:val="20"/>
          <w:color w:val="auto"/>
        </w:rPr>
      </w:pPr>
      <w:r>
        <w:rPr>
          <w:rFonts w:ascii="Arial" w:cs="Arial" w:eastAsia="Arial" w:hAnsi="Arial"/>
          <w:sz w:val="16"/>
          <w:szCs w:val="16"/>
          <w:color w:val="auto"/>
        </w:rPr>
        <w:t>During the three months and six months ended June 30, 2021 and 2020, there were 14,301 shares (the fifth offering period ended June 30, 2021) and 11,735 shares (the third offering period ended June 30, 2020) issued under the Stock Purchase Plan at a share price of $12.71 and $8.97, respectively. Stock-based compensation expense related to the fifth offering period totaled $81,000 and stock-based compensation expense related to the third offering period totaled $37,000 and is included in selling, general and administrative expenses in the Condensed Consolidated Statements of Operations for the six months ended June 30, 2021 and 2020. At June 30, 2021, there were 524,740 shares available for grants under the Plan.</w:t>
      </w:r>
    </w:p>
    <w:p>
      <w:pPr>
        <w:spacing w:after="0" w:line="306" w:lineRule="exact"/>
        <w:rPr>
          <w:sz w:val="20"/>
          <w:szCs w:val="20"/>
          <w:color w:val="auto"/>
        </w:rPr>
      </w:pPr>
    </w:p>
    <w:p>
      <w:pPr>
        <w:ind w:left="600" w:hanging="426"/>
        <w:spacing w:after="0"/>
        <w:tabs>
          <w:tab w:leader="none" w:pos="6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18" w:lineRule="exact"/>
        <w:rPr>
          <w:sz w:val="20"/>
          <w:szCs w:val="20"/>
          <w:color w:val="auto"/>
        </w:rPr>
      </w:pPr>
    </w:p>
    <w:p>
      <w:pPr>
        <w:ind w:left="180" w:right="40" w:firstLine="436"/>
        <w:spacing w:after="0" w:line="289" w:lineRule="auto"/>
        <w:rPr>
          <w:sz w:val="20"/>
          <w:szCs w:val="20"/>
          <w:color w:val="auto"/>
        </w:rPr>
      </w:pPr>
      <w:r>
        <w:rPr>
          <w:rFonts w:ascii="Arial" w:cs="Arial" w:eastAsia="Arial" w:hAnsi="Arial"/>
          <w:sz w:val="16"/>
          <w:szCs w:val="16"/>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$47.5 million, consisting of (i) a revolving credit facility (the “Revolver”) in an aggregate principal amount not to exceed $30 million (subject to increase by up to an additional $15 million upon satisfaction of certain conditions) and; (ii) a $17.5 million term loan facility (the “Term Loan), as more fully described in Exhibit 10.1 to the Company’s Form 8-Ks filed with the SEC on July 19, 2017 and April 25, 2018, and Exhibit 10.2 to the Form 8-K/A filed with the SEC on October 7, 2020.</w:t>
      </w:r>
    </w:p>
    <w:p>
      <w:pPr>
        <w:spacing w:after="0" w:line="167" w:lineRule="exact"/>
        <w:rPr>
          <w:sz w:val="20"/>
          <w:szCs w:val="20"/>
          <w:color w:val="auto"/>
        </w:rPr>
      </w:pPr>
    </w:p>
    <w:p>
      <w:pPr>
        <w:ind w:left="180" w:firstLine="436"/>
        <w:spacing w:after="0" w:line="283" w:lineRule="auto"/>
        <w:rPr>
          <w:sz w:val="20"/>
          <w:szCs w:val="20"/>
          <w:color w:val="auto"/>
        </w:rPr>
      </w:pPr>
      <w:r>
        <w:rPr>
          <w:rFonts w:ascii="Arial" w:cs="Arial" w:eastAsia="Arial" w:hAnsi="Arial"/>
          <w:sz w:val="16"/>
          <w:szCs w:val="16"/>
          <w:color w:val="auto"/>
        </w:rPr>
        <w:t>The Revolver expires in October 2023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ind w:left="180" w:right="480"/>
        <w:spacing w:after="0" w:line="255" w:lineRule="auto"/>
        <w:rPr>
          <w:sz w:val="20"/>
          <w:szCs w:val="20"/>
          <w:color w:val="auto"/>
        </w:rPr>
      </w:pPr>
      <w:r>
        <w:rPr>
          <w:rFonts w:ascii="Arial" w:cs="Arial" w:eastAsia="Arial" w:hAnsi="Arial"/>
          <w:sz w:val="18"/>
          <w:szCs w:val="18"/>
          <w:color w:val="auto"/>
        </w:rPr>
        <w:t>$10.0 million; and (ii) the sum of 85% of eligible Canadian receivables, plus 60% of eligible Canadian unbilled receivables, less a reserve amount established by the administrative agent.</w:t>
      </w:r>
    </w:p>
    <w:p>
      <w:pPr>
        <w:spacing w:after="0" w:line="188" w:lineRule="exact"/>
        <w:rPr>
          <w:sz w:val="20"/>
          <w:szCs w:val="20"/>
          <w:color w:val="auto"/>
        </w:rPr>
      </w:pPr>
    </w:p>
    <w:p>
      <w:pPr>
        <w:ind w:left="180" w:right="20" w:firstLine="436"/>
        <w:spacing w:after="0" w:line="259" w:lineRule="auto"/>
        <w:rPr>
          <w:sz w:val="20"/>
          <w:szCs w:val="20"/>
          <w:color w:val="auto"/>
        </w:rPr>
      </w:pPr>
      <w:r>
        <w:rPr>
          <w:rFonts w:ascii="Arial" w:cs="Arial" w:eastAsia="Arial" w:hAnsi="Arial"/>
          <w:sz w:val="18"/>
          <w:szCs w:val="18"/>
          <w:color w:val="auto"/>
        </w:rPr>
        <w:t>Amounts borrowed under the Term Loan are required to be repaid in consecutive quarterly installments through and including the maturity date of October 1, 2023. The principal amount of each quarterly installment payable on the Term Loan equals $1.1 million through and including the maturity date, with the maturity date payment equal to the outstanding amount of the loan on that date.</w:t>
      </w:r>
    </w:p>
    <w:p>
      <w:pPr>
        <w:spacing w:after="0" w:line="185" w:lineRule="exact"/>
        <w:rPr>
          <w:sz w:val="20"/>
          <w:szCs w:val="20"/>
          <w:color w:val="auto"/>
        </w:rPr>
      </w:pPr>
    </w:p>
    <w:p>
      <w:pPr>
        <w:ind w:left="180" w:right="40" w:firstLine="436"/>
        <w:spacing w:after="0" w:line="268" w:lineRule="auto"/>
        <w:rPr>
          <w:sz w:val="20"/>
          <w:szCs w:val="20"/>
          <w:color w:val="auto"/>
        </w:rPr>
      </w:pPr>
      <w:r>
        <w:rPr>
          <w:rFonts w:ascii="Arial" w:cs="Arial" w:eastAsia="Arial" w:hAnsi="Arial"/>
          <w:sz w:val="17"/>
          <w:szCs w:val="17"/>
          <w:color w:val="auto"/>
        </w:rPr>
        <w:t>Borrowings under the revolver and the term loan, at the Company’s election, bear interest at either (a) the higher of PNC’s prime rate or the federal funds rate plus 0.50%, plus an applicable margin determined based upon the Company’s senior leverage ratio or (b) an adjusted London Interbank Offered Rate (“LIBOR”), with a floor of 0.50%, plus an applicable margin determined based upon the Company’s senior leverage ratio. The applicable margin on the base rate is between 0.50% and 1.25% on revolver borrowings and between 1.75% and 2.50% on term loans. The applicable margin on the adjusted LIBOR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82" w:lineRule="exact"/>
        <w:rPr>
          <w:sz w:val="20"/>
          <w:szCs w:val="20"/>
          <w:color w:val="auto"/>
        </w:rPr>
      </w:pPr>
    </w:p>
    <w:p>
      <w:pPr>
        <w:ind w:left="180" w:right="380" w:firstLine="436"/>
        <w:spacing w:after="0" w:line="297" w:lineRule="auto"/>
        <w:rPr>
          <w:sz w:val="20"/>
          <w:szCs w:val="20"/>
          <w:color w:val="auto"/>
        </w:rPr>
      </w:pPr>
      <w:r>
        <w:rPr>
          <w:rFonts w:ascii="Arial" w:cs="Arial" w:eastAsia="Arial" w:hAnsi="Arial"/>
          <w:sz w:val="16"/>
          <w:szCs w:val="16"/>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June 30, 2021, the Company was in compliance with all provisions under the facility.</w:t>
      </w:r>
    </w:p>
    <w:p>
      <w:pPr>
        <w:spacing w:after="0" w:line="158" w:lineRule="exact"/>
        <w:rPr>
          <w:sz w:val="20"/>
          <w:szCs w:val="20"/>
          <w:color w:val="auto"/>
        </w:rPr>
      </w:pPr>
    </w:p>
    <w:p>
      <w:pPr>
        <w:ind w:left="180" w:right="120" w:firstLine="436"/>
        <w:spacing w:after="0" w:line="297" w:lineRule="auto"/>
        <w:rPr>
          <w:sz w:val="20"/>
          <w:szCs w:val="20"/>
          <w:color w:val="auto"/>
        </w:rPr>
      </w:pPr>
      <w:r>
        <w:rPr>
          <w:rFonts w:ascii="Arial" w:cs="Arial" w:eastAsia="Arial" w:hAnsi="Arial"/>
          <w:sz w:val="16"/>
          <w:szCs w:val="16"/>
          <w:color w:val="auto"/>
        </w:rPr>
        <w:t>In connection with securing the commitments under the Credit Agreement and the April 20, 2018 and October 1, 2020 amendments to the Credit Agreement, the Company paid a commitment fee and incurred deferred financing costs totaling $752,000, which were capitalized and are being amortized as interest expense over the life of the facility. Deferred financing costs of $184,000 and $225,000 (net of amortization) as of June 30, 2021 and December 31, 2020, respectively, are presented as reductions in long-term debt in the Company’s Condensed Consolidated Balance Sheets.</w:t>
      </w:r>
    </w:p>
    <w:p>
      <w:pPr>
        <w:spacing w:after="0" w:line="158" w:lineRule="exact"/>
        <w:rPr>
          <w:sz w:val="20"/>
          <w:szCs w:val="20"/>
          <w:color w:val="auto"/>
        </w:rPr>
      </w:pPr>
    </w:p>
    <w:p>
      <w:pPr>
        <w:ind w:left="180" w:right="300" w:firstLine="436"/>
        <w:spacing w:after="0" w:line="259" w:lineRule="auto"/>
        <w:rPr>
          <w:sz w:val="20"/>
          <w:szCs w:val="20"/>
          <w:color w:val="auto"/>
        </w:rPr>
      </w:pPr>
      <w:r>
        <w:rPr>
          <w:rFonts w:ascii="Arial" w:cs="Arial" w:eastAsia="Arial" w:hAnsi="Arial"/>
          <w:sz w:val="18"/>
          <w:szCs w:val="18"/>
          <w:color w:val="auto"/>
        </w:rPr>
        <w:t>As of June 30, 2021 and December 31, 2020, the Company had no outstanding borrowings under the Revolver and unused borrowing capacity available was approximately $26.1 million and $22.0 million, respectively. The Company’s outstanding borrowings under the term loan were $15.3 million and $17.5 million at June 30, 2021 and December 31, 2020, respectively.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82"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00" w:hanging="426"/>
        <w:spacing w:after="0"/>
        <w:tabs>
          <w:tab w:leader="none" w:pos="6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80" w:firstLine="436"/>
        <w:spacing w:after="0" w:line="270" w:lineRule="auto"/>
        <w:rPr>
          <w:sz w:val="20"/>
          <w:szCs w:val="20"/>
          <w:color w:val="auto"/>
        </w:rPr>
      </w:pPr>
      <w:r>
        <w:rPr>
          <w:rFonts w:ascii="Arial" w:cs="Arial" w:eastAsia="Arial" w:hAnsi="Arial"/>
          <w:sz w:val="18"/>
          <w:szCs w:val="18"/>
          <w:color w:val="auto"/>
        </w:rPr>
        <w:t>The components of income before income taxes, as shown in the accompanying Financial Statements, consisted of the following for the three and six months ended June 30, 2021 and 2020:</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35"/>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line="154"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5"/>
              <w:spacing w:after="0" w:line="154"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line="154"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5"/>
              <w:spacing w:after="0" w:line="154"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3"/>
                <w:szCs w:val="13"/>
                <w:color w:val="auto"/>
              </w:rPr>
            </w:pPr>
          </w:p>
        </w:tc>
      </w:tr>
      <w:tr>
        <w:trPr>
          <w:trHeight w:val="140"/>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6"/>
          </w:tcPr>
          <w:p>
            <w:pPr>
              <w:jc w:val="center"/>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340" w:type="dxa"/>
            <w:vAlign w:val="bottom"/>
          </w:tcPr>
          <w:p>
            <w:pPr>
              <w:spacing w:after="0"/>
              <w:rPr>
                <w:sz w:val="12"/>
                <w:szCs w:val="12"/>
                <w:color w:val="auto"/>
              </w:rPr>
            </w:pPr>
          </w:p>
        </w:tc>
        <w:tc>
          <w:tcPr>
            <w:tcW w:w="1520" w:type="dxa"/>
            <w:vAlign w:val="bottom"/>
            <w:gridSpan w:val="6"/>
          </w:tcPr>
          <w:p>
            <w:pPr>
              <w:jc w:val="center"/>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60" w:type="dxa"/>
            <w:vAlign w:val="bottom"/>
          </w:tcPr>
          <w:p>
            <w:pPr>
              <w:spacing w:after="0"/>
              <w:rPr>
                <w:sz w:val="12"/>
                <w:szCs w:val="12"/>
                <w:color w:val="auto"/>
              </w:rPr>
            </w:pPr>
          </w:p>
        </w:tc>
      </w:tr>
      <w:tr>
        <w:trPr>
          <w:trHeight w:val="214"/>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656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5,566</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7,447</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5,353</w:t>
            </w:r>
          </w:p>
        </w:tc>
        <w:tc>
          <w:tcPr>
            <w:tcW w:w="60" w:type="dxa"/>
            <w:vAlign w:val="bottom"/>
          </w:tcPr>
          <w:p>
            <w:pPr>
              <w:spacing w:after="0"/>
              <w:rPr>
                <w:sz w:val="18"/>
                <w:szCs w:val="18"/>
                <w:color w:val="auto"/>
              </w:rPr>
            </w:pPr>
          </w:p>
        </w:tc>
      </w:tr>
      <w:tr>
        <w:trPr>
          <w:trHeight w:val="214"/>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r>
      <w:tr>
        <w:trPr>
          <w:trHeight w:val="220"/>
        </w:trPr>
        <w:tc>
          <w:tcPr>
            <w:tcW w:w="6560" w:type="dxa"/>
            <w:vAlign w:val="bottom"/>
          </w:tcPr>
          <w:p>
            <w:pPr>
              <w:ind w:left="70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240" w:firstLine="436"/>
        <w:spacing w:after="0" w:line="259" w:lineRule="auto"/>
        <w:rPr>
          <w:sz w:val="20"/>
          <w:szCs w:val="20"/>
          <w:color w:val="auto"/>
        </w:rPr>
      </w:pPr>
      <w:r>
        <w:rPr>
          <w:rFonts w:ascii="Arial" w:cs="Arial" w:eastAsia="Arial" w:hAnsi="Arial"/>
          <w:sz w:val="18"/>
          <w:szCs w:val="18"/>
          <w:color w:val="auto"/>
        </w:rPr>
        <w:t>The Company has subsidiaries organized in jurisdictions outside the United States, which generate revenues from non-U.S.-based clients. Additionally, these subsidiaries provide services to the Company’s U.S. parents. Accordingly, the Company allocates a portion of its income to these subsidiaries based on a “transfer pricing” model and reports such income as foreign in the above table.</w:t>
      </w:r>
    </w:p>
    <w:p>
      <w:pPr>
        <w:spacing w:after="0" w:line="185" w:lineRule="exact"/>
        <w:rPr>
          <w:sz w:val="20"/>
          <w:szCs w:val="20"/>
          <w:color w:val="auto"/>
        </w:rPr>
      </w:pPr>
    </w:p>
    <w:p>
      <w:pPr>
        <w:ind w:left="180" w:right="380" w:firstLine="436"/>
        <w:spacing w:after="0" w:line="270" w:lineRule="auto"/>
        <w:rPr>
          <w:sz w:val="20"/>
          <w:szCs w:val="20"/>
          <w:color w:val="auto"/>
        </w:rPr>
      </w:pPr>
      <w:r>
        <w:rPr>
          <w:rFonts w:ascii="Arial" w:cs="Arial" w:eastAsia="Arial" w:hAnsi="Arial"/>
          <w:sz w:val="18"/>
          <w:szCs w:val="18"/>
          <w:color w:val="auto"/>
        </w:rPr>
        <w:t>The provision for income taxes, as shown in the accompanying Financial Statements, consisted of the following for the three and six months ended June 30, 2021 and 2020:</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335"/>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5"/>
              <w:spacing w:after="0" w:line="154"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3"/>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40"/>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6"/>
          </w:tcPr>
          <w:p>
            <w:pPr>
              <w:jc w:val="center"/>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6"/>
          </w:tcPr>
          <w:p>
            <w:pPr>
              <w:jc w:val="center"/>
              <w:spacing w:after="0" w:line="141" w:lineRule="exact"/>
              <w:rPr>
                <w:sz w:val="20"/>
                <w:szCs w:val="20"/>
                <w:color w:val="auto"/>
              </w:rPr>
            </w:pPr>
            <w:r>
              <w:rPr>
                <w:rFonts w:ascii="Arial" w:cs="Arial" w:eastAsia="Arial" w:hAnsi="Arial"/>
                <w:sz w:val="14"/>
                <w:szCs w:val="14"/>
                <w:b w:val="1"/>
                <w:bCs w:val="1"/>
                <w:color w:val="auto"/>
                <w:w w:val="89"/>
              </w:rPr>
              <w:t>(Amounts in thousands)</w:t>
            </w:r>
          </w:p>
        </w:tc>
        <w:tc>
          <w:tcPr>
            <w:tcW w:w="10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901</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1,259</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provision (benefit)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r>
      <w:tr>
        <w:trPr>
          <w:trHeight w:val="220"/>
        </w:trPr>
        <w:tc>
          <w:tcPr>
            <w:tcW w:w="6320" w:type="dxa"/>
            <w:vAlign w:val="bottom"/>
            <w:gridSpan w:val="2"/>
          </w:tcPr>
          <w:p>
            <w:pPr>
              <w:spacing w:after="0"/>
              <w:rPr>
                <w:sz w:val="20"/>
                <w:szCs w:val="20"/>
                <w:color w:val="auto"/>
              </w:rPr>
            </w:pPr>
            <w:r>
              <w:rPr>
                <w:rFonts w:ascii="Arial" w:cs="Arial" w:eastAsia="Arial" w:hAnsi="Arial"/>
                <w:sz w:val="18"/>
                <w:szCs w:val="18"/>
                <w:color w:val="auto"/>
              </w:rPr>
              <w:t>Deferred provision (benefit):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14"/>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4"/>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r>
      <w:tr>
        <w:trPr>
          <w:trHeight w:val="227"/>
        </w:trPr>
        <w:tc>
          <w:tcPr>
            <w:tcW w:w="20" w:type="dxa"/>
            <w:vAlign w:val="bottom"/>
          </w:tcPr>
          <w:p>
            <w:pPr>
              <w:spacing w:after="0"/>
              <w:rPr>
                <w:sz w:val="19"/>
                <w:szCs w:val="19"/>
                <w:color w:val="auto"/>
              </w:rPr>
            </w:pPr>
          </w:p>
        </w:tc>
        <w:tc>
          <w:tcPr>
            <w:tcW w:w="6300" w:type="dxa"/>
            <w:vAlign w:val="bottom"/>
          </w:tcPr>
          <w:p>
            <w:pPr>
              <w:ind w:left="680"/>
              <w:spacing w:after="0"/>
              <w:rPr>
                <w:sz w:val="20"/>
                <w:szCs w:val="20"/>
                <w:color w:val="auto"/>
              </w:rPr>
            </w:pPr>
            <w:r>
              <w:rPr>
                <w:rFonts w:ascii="Arial" w:cs="Arial" w:eastAsia="Arial" w:hAnsi="Arial"/>
                <w:sz w:val="18"/>
                <w:szCs w:val="18"/>
                <w:color w:val="auto"/>
              </w:rPr>
              <w:t>Total deferred provision (benefit)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20"/>
        </w:trPr>
        <w:tc>
          <w:tcPr>
            <w:tcW w:w="632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320" w:firstLine="436"/>
        <w:spacing w:after="0" w:line="270" w:lineRule="auto"/>
        <w:rPr>
          <w:sz w:val="20"/>
          <w:szCs w:val="20"/>
          <w:color w:val="auto"/>
        </w:rPr>
      </w:pPr>
      <w:r>
        <w:rPr>
          <w:rFonts w:ascii="Arial" w:cs="Arial" w:eastAsia="Arial" w:hAnsi="Arial"/>
          <w:sz w:val="18"/>
          <w:szCs w:val="18"/>
          <w:color w:val="auto"/>
        </w:rPr>
        <w:t>The reconciliation of income taxes computed using the statutory U.S. income tax rate and the provision for income taxes for the three and six months ended June 30, 2021 and 2020 were as follows (amounts in thousands):</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70"/>
        </w:trPr>
        <w:tc>
          <w:tcPr>
            <w:tcW w:w="44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31"/>
              <w:spacing w:after="0"/>
              <w:rPr>
                <w:sz w:val="20"/>
                <w:szCs w:val="20"/>
                <w:color w:val="auto"/>
              </w:rPr>
            </w:pPr>
            <w:r>
              <w:rPr>
                <w:rFonts w:ascii="Arial" w:cs="Arial" w:eastAsia="Arial" w:hAnsi="Arial"/>
                <w:sz w:val="14"/>
                <w:szCs w:val="14"/>
                <w:b w:val="1"/>
                <w:bCs w:val="1"/>
                <w:color w:val="auto"/>
                <w:w w:val="92"/>
              </w:rPr>
              <w:t>June 30, 2021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11"/>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Borders>
              <w:bottom w:val="single" w:sz="8" w:color="CCEEFF"/>
            </w:tcBorders>
          </w:tcPr>
          <w:p>
            <w:pPr>
              <w:spacing w:after="0"/>
              <w:rPr>
                <w:sz w:val="14"/>
                <w:szCs w:val="14"/>
                <w:color w:val="auto"/>
              </w:rPr>
            </w:pPr>
          </w:p>
        </w:tc>
      </w:tr>
      <w:tr>
        <w:trPr>
          <w:trHeight w:val="20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the federal statutory rate</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4"/>
        </w:trPr>
        <w:tc>
          <w:tcPr>
            <w:tcW w:w="44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r>
      <w:tr>
        <w:trPr>
          <w:trHeight w:val="214"/>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options/restricted shares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r>
      <w:tr>
        <w:trPr>
          <w:trHeight w:val="214"/>
        </w:trPr>
        <w:tc>
          <w:tcPr>
            <w:tcW w:w="4420" w:type="dxa"/>
            <w:vAlign w:val="bottom"/>
          </w:tcPr>
          <w:p>
            <w:pPr>
              <w:spacing w:after="0"/>
              <w:rPr>
                <w:sz w:val="20"/>
                <w:szCs w:val="20"/>
                <w:color w:val="auto"/>
              </w:rPr>
            </w:pPr>
            <w:r>
              <w:rPr>
                <w:rFonts w:ascii="Arial" w:cs="Arial" w:eastAsia="Arial" w:hAnsi="Arial"/>
                <w:sz w:val="18"/>
                <w:szCs w:val="18"/>
                <w:color w:val="auto"/>
              </w:rPr>
              <w:t>Difference in income tax rate on foreign earnings/other</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r>
      <w:tr>
        <w:trPr>
          <w:trHeight w:val="214"/>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r>
      <w:tr>
        <w:trPr>
          <w:trHeight w:val="220"/>
        </w:trPr>
        <w:tc>
          <w:tcPr>
            <w:tcW w:w="44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1,429</w:t>
            </w: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r>
      <w:tr>
        <w:trPr>
          <w:trHeight w:val="20"/>
        </w:trPr>
        <w:tc>
          <w:tcPr>
            <w:tcW w:w="4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2"/>
        </w:trPr>
        <w:tc>
          <w:tcPr>
            <w:tcW w:w="4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44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31"/>
              <w:spacing w:after="0"/>
              <w:rPr>
                <w:sz w:val="20"/>
                <w:szCs w:val="20"/>
                <w:color w:val="auto"/>
              </w:rPr>
            </w:pPr>
            <w:r>
              <w:rPr>
                <w:rFonts w:ascii="Arial" w:cs="Arial" w:eastAsia="Arial" w:hAnsi="Arial"/>
                <w:sz w:val="14"/>
                <w:szCs w:val="14"/>
                <w:b w:val="1"/>
                <w:bCs w:val="1"/>
                <w:color w:val="auto"/>
                <w:w w:val="92"/>
              </w:rPr>
              <w:t>June 30, 2021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11"/>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Borders>
              <w:bottom w:val="single" w:sz="8" w:color="CCEEFF"/>
            </w:tcBorders>
          </w:tcPr>
          <w:p>
            <w:pPr>
              <w:spacing w:after="0"/>
              <w:rPr>
                <w:sz w:val="14"/>
                <w:szCs w:val="14"/>
                <w:color w:val="auto"/>
              </w:rPr>
            </w:pPr>
          </w:p>
        </w:tc>
      </w:tr>
      <w:tr>
        <w:trPr>
          <w:trHeight w:val="20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the federal statutory rate</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r>
      <w:tr>
        <w:trPr>
          <w:trHeight w:val="346"/>
        </w:trPr>
        <w:tc>
          <w:tcPr>
            <w:tcW w:w="4420" w:type="dxa"/>
            <w:vAlign w:val="bottom"/>
          </w:tcPr>
          <w:p>
            <w:pPr>
              <w:spacing w:after="0"/>
              <w:rPr>
                <w:sz w:val="24"/>
                <w:szCs w:val="24"/>
                <w:color w:val="auto"/>
              </w:rPr>
            </w:pPr>
          </w:p>
        </w:tc>
        <w:tc>
          <w:tcPr>
            <w:tcW w:w="2200" w:type="dxa"/>
            <w:vAlign w:val="bottom"/>
          </w:tcPr>
          <w:p>
            <w:pPr>
              <w:jc w:val="right"/>
              <w:ind w:right="14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00"/>
          </w:cols>
          <w:pgMar w:left="320" w:top="482" w:right="5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70"/>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CEEFF"/>
            </w:tcBorders>
          </w:tcPr>
          <w:p>
            <w:pPr>
              <w:spacing w:after="0"/>
              <w:rPr>
                <w:sz w:val="14"/>
                <w:szCs w:val="14"/>
                <w:color w:val="auto"/>
              </w:rPr>
            </w:pPr>
          </w:p>
        </w:tc>
      </w:tr>
      <w:tr>
        <w:trPr>
          <w:trHeight w:val="207"/>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 from stock options/restricted shares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r>
      <w:tr>
        <w:trPr>
          <w:trHeight w:val="214"/>
        </w:trPr>
        <w:tc>
          <w:tcPr>
            <w:tcW w:w="6820" w:type="dxa"/>
            <w:vAlign w:val="bottom"/>
            <w:gridSpan w:val="3"/>
          </w:tcPr>
          <w:p>
            <w:pPr>
              <w:spacing w:after="0"/>
              <w:rPr>
                <w:sz w:val="20"/>
                <w:szCs w:val="20"/>
                <w:color w:val="auto"/>
              </w:rPr>
            </w:pPr>
            <w:r>
              <w:rPr>
                <w:rFonts w:ascii="Arial" w:cs="Arial" w:eastAsia="Arial" w:hAnsi="Arial"/>
                <w:sz w:val="18"/>
                <w:szCs w:val="18"/>
                <w:color w:val="auto"/>
              </w:rPr>
              <w:t>Difference in income tax rate on foreign earnings/other</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r>
      <w:tr>
        <w:trPr>
          <w:trHeight w:val="214"/>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r>
      <w:tr>
        <w:trPr>
          <w:trHeight w:val="220"/>
        </w:trPr>
        <w:tc>
          <w:tcPr>
            <w:tcW w:w="6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1,872</w:t>
            </w: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  869</w:t>
            </w:r>
          </w:p>
        </w:tc>
        <w:tc>
          <w:tcPr>
            <w:tcW w:w="3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120" w:firstLine="436"/>
        <w:spacing w:after="0" w:line="289" w:lineRule="auto"/>
        <w:rPr>
          <w:sz w:val="20"/>
          <w:szCs w:val="20"/>
          <w:color w:val="auto"/>
        </w:rPr>
      </w:pPr>
      <w:r>
        <w:rPr>
          <w:rFonts w:ascii="Arial" w:cs="Arial" w:eastAsia="Arial" w:hAnsi="Arial"/>
          <w:sz w:val="16"/>
          <w:szCs w:val="16"/>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June 30, 2021, our valuation allowance was comprised of balances within locations of Singapore and the United Kingdom. The valuation allowance balances at these locations totaled $248,000 and $179,000 as of June 30, 2021 and December 31, 2020, respectively, and reflect net operating losses which may not be realizable in the future.</w:t>
      </w:r>
    </w:p>
    <w:p>
      <w:pPr>
        <w:spacing w:after="0" w:line="167" w:lineRule="exact"/>
        <w:rPr>
          <w:sz w:val="20"/>
          <w:szCs w:val="20"/>
          <w:color w:val="auto"/>
        </w:rPr>
      </w:pPr>
    </w:p>
    <w:p>
      <w:pPr>
        <w:ind w:left="180" w:right="240" w:firstLine="436"/>
        <w:spacing w:after="0" w:line="270" w:lineRule="auto"/>
        <w:rPr>
          <w:sz w:val="20"/>
          <w:szCs w:val="20"/>
          <w:color w:val="auto"/>
        </w:rPr>
      </w:pPr>
      <w:r>
        <w:rPr>
          <w:rFonts w:ascii="Arial" w:cs="Arial" w:eastAsia="Arial" w:hAnsi="Arial"/>
          <w:sz w:val="18"/>
          <w:szCs w:val="18"/>
          <w:color w:val="auto"/>
        </w:rPr>
        <w:t>The Company’s 2018 tax return is currently being audited by the IRS. Additionally, we have been notified by Revenue Canada that they will be conducting an audit of our Canadian subsidiary for the years 2018 and 2019 in the coming months.</w:t>
      </w:r>
    </w:p>
    <w:p>
      <w:pPr>
        <w:spacing w:after="0" w:line="318" w:lineRule="exact"/>
        <w:rPr>
          <w:sz w:val="20"/>
          <w:szCs w:val="20"/>
          <w:color w:val="auto"/>
        </w:rPr>
      </w:pPr>
    </w:p>
    <w:p>
      <w:pPr>
        <w:ind w:left="600" w:hanging="426"/>
        <w:spacing w:after="0"/>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Rate Risk Management</w:t>
      </w:r>
    </w:p>
    <w:p>
      <w:pPr>
        <w:spacing w:after="0" w:line="114" w:lineRule="exact"/>
        <w:rPr>
          <w:sz w:val="20"/>
          <w:szCs w:val="20"/>
          <w:color w:val="auto"/>
        </w:rPr>
      </w:pPr>
    </w:p>
    <w:p>
      <w:pPr>
        <w:ind w:left="180" w:right="20" w:firstLine="436"/>
        <w:spacing w:after="0" w:line="284" w:lineRule="auto"/>
        <w:rPr>
          <w:sz w:val="20"/>
          <w:szCs w:val="20"/>
          <w:color w:val="auto"/>
        </w:rPr>
      </w:pPr>
      <w:r>
        <w:rPr>
          <w:rFonts w:ascii="Arial" w:cs="Arial" w:eastAsia="Arial" w:hAnsi="Arial"/>
          <w:sz w:val="16"/>
          <w:szCs w:val="16"/>
          <w:color w:val="auto"/>
        </w:rPr>
        <w:t>Concurrent with the Company’s July 13, 2017 borrowings under its new credit facility, the Company entered into a 44–month interest-rate swap to convert the debt’s variable interest rate to a fixed rate of interest. Under the swap contracts, which matured on April 1, 2021, the Company paid interest at a fixed rate of 1.99% and received interest at a variable rate equal to the daily U.S. LIBOR on an initial notional amount of $15.0 million. Notional amounts were $0 and $8.1 million at June 30, 2021 and December 31, 2020, respectively. These swap contracts have been designated as cash flow hedging instruments and qualified as effective hedges at inception under ASC Topic 815, “Derivatives and Hedging”. These contracts are recognized on the balance sheet at fair value. The effective portion of the changes in fair value on these instruments is recorded in other comprehensive income (loss) and is reclassified into the Consolidated Statements of Operations as interest expense in the same period in which the underlying hedge transaction affects earnings. Changes in the fair value of interest-rate swap contracts deemed ineffective are recognized in the Consolidated Statements of Operations as interest expense. The fair value of the interest-rate swap contracts at June 30, 2021 and December 31, 2020 was $0 and a liability of $35,000, respectively, and is reflected in the Consolidated Balance Sheets as other current liabilities.</w:t>
      </w:r>
    </w:p>
    <w:p>
      <w:pPr>
        <w:spacing w:after="0" w:line="170" w:lineRule="exact"/>
        <w:rPr>
          <w:sz w:val="20"/>
          <w:szCs w:val="20"/>
          <w:color w:val="auto"/>
        </w:rPr>
      </w:pPr>
    </w:p>
    <w:p>
      <w:pPr>
        <w:ind w:left="180" w:right="280"/>
        <w:spacing w:after="0" w:line="275" w:lineRule="auto"/>
        <w:rPr>
          <w:sz w:val="20"/>
          <w:szCs w:val="20"/>
          <w:color w:val="auto"/>
        </w:rPr>
      </w:pPr>
      <w:r>
        <w:rPr>
          <w:rFonts w:ascii="Arial" w:cs="Arial" w:eastAsia="Arial" w:hAnsi="Arial"/>
          <w:sz w:val="18"/>
          <w:szCs w:val="18"/>
          <w:b w:val="1"/>
          <w:bCs w:val="1"/>
          <w:color w:val="auto"/>
        </w:rPr>
        <w:t>The effect of derivative instruments on the Condensed Consolidated Statements of Operations and Comprehensive Income are as follows (in thousands):</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Location of</w:t>
            </w:r>
          </w:p>
        </w:tc>
        <w:tc>
          <w:tcPr>
            <w:tcW w:w="34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Amount of</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Gain / (Loss)</w:t>
            </w:r>
          </w:p>
        </w:tc>
        <w:tc>
          <w:tcPr>
            <w:tcW w:w="142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0"/>
              </w:rPr>
              <w:t>Location of</w:t>
            </w:r>
          </w:p>
        </w:tc>
        <w:tc>
          <w:tcPr>
            <w:tcW w:w="2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Amount of</w:t>
            </w:r>
          </w:p>
        </w:tc>
        <w:tc>
          <w:tcPr>
            <w:tcW w:w="3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Gain / (Loss)</w:t>
            </w:r>
          </w:p>
        </w:tc>
        <w:tc>
          <w:tcPr>
            <w:tcW w:w="340" w:type="dxa"/>
            <w:vAlign w:val="bottom"/>
          </w:tcPr>
          <w:p>
            <w:pPr>
              <w:spacing w:after="0"/>
              <w:rPr>
                <w:sz w:val="12"/>
                <w:szCs w:val="12"/>
                <w:color w:val="auto"/>
              </w:rPr>
            </w:pPr>
          </w:p>
        </w:tc>
        <w:tc>
          <w:tcPr>
            <w:tcW w:w="1180" w:type="dxa"/>
            <w:vAlign w:val="bottom"/>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w w:val="88"/>
              </w:rPr>
              <w:t>reclassified</w:t>
            </w: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reclassified from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6"/>
              </w:rPr>
              <w:t>from</w:t>
            </w:r>
          </w:p>
        </w:tc>
        <w:tc>
          <w:tcPr>
            <w:tcW w:w="1420" w:type="dxa"/>
            <w:vAlign w:val="bottom"/>
          </w:tcPr>
          <w:p>
            <w:pPr>
              <w:jc w:val="center"/>
              <w:ind w:right="84"/>
              <w:spacing w:after="0" w:line="147" w:lineRule="exact"/>
              <w:rPr>
                <w:sz w:val="20"/>
                <w:szCs w:val="20"/>
                <w:color w:val="auto"/>
              </w:rPr>
            </w:pPr>
            <w:r>
              <w:rPr>
                <w:rFonts w:ascii="Arial" w:cs="Arial" w:eastAsia="Arial" w:hAnsi="Arial"/>
                <w:sz w:val="14"/>
                <w:szCs w:val="14"/>
                <w:b w:val="1"/>
                <w:bCs w:val="1"/>
                <w:color w:val="auto"/>
                <w:w w:val="91"/>
              </w:rPr>
              <w:t>Gain / (Loss)</w:t>
            </w:r>
          </w:p>
        </w:tc>
        <w:tc>
          <w:tcPr>
            <w:tcW w:w="1100" w:type="dxa"/>
            <w:vAlign w:val="bottom"/>
            <w:gridSpan w:val="3"/>
          </w:tcPr>
          <w:p>
            <w:pPr>
              <w:jc w:val="center"/>
              <w:ind w:left="19"/>
              <w:spacing w:after="0" w:line="147" w:lineRule="exact"/>
              <w:rPr>
                <w:sz w:val="20"/>
                <w:szCs w:val="20"/>
                <w:color w:val="auto"/>
              </w:rPr>
            </w:pPr>
            <w:r>
              <w:rPr>
                <w:rFonts w:ascii="Arial" w:cs="Arial" w:eastAsia="Arial" w:hAnsi="Arial"/>
                <w:sz w:val="14"/>
                <w:szCs w:val="14"/>
                <w:b w:val="1"/>
                <w:bCs w:val="1"/>
                <w:color w:val="auto"/>
                <w:w w:val="94"/>
              </w:rPr>
              <w:t>Gain / (Loss)</w:t>
            </w: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Gain / (Loss)</w:t>
            </w:r>
          </w:p>
        </w:tc>
        <w:tc>
          <w:tcPr>
            <w:tcW w:w="3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Accumulated</w:t>
            </w:r>
          </w:p>
        </w:tc>
        <w:tc>
          <w:tcPr>
            <w:tcW w:w="1520" w:type="dxa"/>
            <w:vAlign w:val="bottom"/>
            <w:gridSpan w:val="4"/>
          </w:tcPr>
          <w:p>
            <w:pPr>
              <w:ind w:left="340"/>
              <w:spacing w:after="0" w:line="147" w:lineRule="exact"/>
              <w:rPr>
                <w:sz w:val="20"/>
                <w:szCs w:val="20"/>
                <w:color w:val="auto"/>
              </w:rPr>
            </w:pPr>
            <w:r>
              <w:rPr>
                <w:rFonts w:ascii="Arial" w:cs="Arial" w:eastAsia="Arial" w:hAnsi="Arial"/>
                <w:sz w:val="14"/>
                <w:szCs w:val="14"/>
                <w:b w:val="1"/>
                <w:bCs w:val="1"/>
                <w:color w:val="auto"/>
              </w:rPr>
              <w:t>Accumulated</w:t>
            </w:r>
          </w:p>
        </w:tc>
        <w:tc>
          <w:tcPr>
            <w:tcW w:w="142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w w:val="89"/>
              </w:rPr>
              <w:t>reclassified in</w:t>
            </w:r>
          </w:p>
        </w:tc>
        <w:tc>
          <w:tcPr>
            <w:tcW w:w="1100" w:type="dxa"/>
            <w:vAlign w:val="bottom"/>
            <w:gridSpan w:val="3"/>
          </w:tcPr>
          <w:p>
            <w:pPr>
              <w:jc w:val="center"/>
              <w:ind w:left="19"/>
              <w:spacing w:after="0" w:line="147" w:lineRule="exact"/>
              <w:rPr>
                <w:sz w:val="20"/>
                <w:szCs w:val="20"/>
                <w:color w:val="auto"/>
              </w:rPr>
            </w:pPr>
            <w:r>
              <w:rPr>
                <w:rFonts w:ascii="Arial" w:cs="Arial" w:eastAsia="Arial" w:hAnsi="Arial"/>
                <w:sz w:val="14"/>
                <w:szCs w:val="14"/>
                <w:b w:val="1"/>
                <w:bCs w:val="1"/>
                <w:color w:val="auto"/>
                <w:w w:val="88"/>
              </w:rPr>
              <w:t>recognized in</w:t>
            </w:r>
          </w:p>
        </w:tc>
        <w:tc>
          <w:tcPr>
            <w:tcW w:w="0" w:type="dxa"/>
            <w:vAlign w:val="bottom"/>
          </w:tcPr>
          <w:p>
            <w:pPr>
              <w:spacing w:after="0"/>
              <w:rPr>
                <w:sz w:val="1"/>
                <w:szCs w:val="1"/>
                <w:color w:val="auto"/>
              </w:rPr>
            </w:pPr>
          </w:p>
        </w:tc>
      </w:tr>
      <w:tr>
        <w:trPr>
          <w:trHeight w:val="147"/>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 Topic 815 Cash Flow Hedging</w:t>
            </w:r>
          </w:p>
        </w:tc>
        <w:tc>
          <w:tcPr>
            <w:tcW w:w="1420" w:type="dxa"/>
            <w:vAlign w:val="bottom"/>
            <w:gridSpan w:val="4"/>
          </w:tcPr>
          <w:p>
            <w:pPr>
              <w:ind w:left="540"/>
              <w:spacing w:after="0" w:line="147" w:lineRule="exact"/>
              <w:rPr>
                <w:sz w:val="20"/>
                <w:szCs w:val="20"/>
                <w:color w:val="auto"/>
              </w:rPr>
            </w:pPr>
            <w:r>
              <w:rPr>
                <w:rFonts w:ascii="Arial" w:cs="Arial" w:eastAsia="Arial" w:hAnsi="Arial"/>
                <w:sz w:val="14"/>
                <w:szCs w:val="14"/>
                <w:b w:val="1"/>
                <w:bCs w:val="1"/>
                <w:color w:val="auto"/>
                <w:w w:val="95"/>
              </w:rPr>
              <w:t>recognized in</w:t>
            </w:r>
          </w:p>
        </w:tc>
        <w:tc>
          <w:tcPr>
            <w:tcW w:w="3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OCI to</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rPr>
              <w:t>OCI to</w:t>
            </w:r>
          </w:p>
        </w:tc>
        <w:tc>
          <w:tcPr>
            <w:tcW w:w="142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2"/>
                <w:szCs w:val="12"/>
                <w:color w:val="auto"/>
              </w:rPr>
            </w:pPr>
          </w:p>
        </w:tc>
        <w:tc>
          <w:tcPr>
            <w:tcW w:w="8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3"/>
        </w:trPr>
        <w:tc>
          <w:tcPr>
            <w:tcW w:w="39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OCI on</w:t>
            </w:r>
          </w:p>
        </w:tc>
        <w:tc>
          <w:tcPr>
            <w:tcW w:w="300" w:type="dxa"/>
            <w:vAlign w:val="bottom"/>
          </w:tcPr>
          <w:p>
            <w:pPr>
              <w:spacing w:after="0"/>
              <w:rPr>
                <w:sz w:val="12"/>
                <w:szCs w:val="12"/>
                <w:color w:val="auto"/>
              </w:rPr>
            </w:pPr>
          </w:p>
        </w:tc>
        <w:tc>
          <w:tcPr>
            <w:tcW w:w="12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Income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w w:val="89"/>
              </w:rPr>
              <w:t>Income</w:t>
            </w:r>
          </w:p>
        </w:tc>
        <w:tc>
          <w:tcPr>
            <w:tcW w:w="1420" w:type="dxa"/>
            <w:vAlign w:val="bottom"/>
          </w:tcPr>
          <w:p>
            <w:pPr>
              <w:jc w:val="center"/>
              <w:ind w:right="104"/>
              <w:spacing w:after="0" w:line="143" w:lineRule="exact"/>
              <w:rPr>
                <w:sz w:val="20"/>
                <w:szCs w:val="20"/>
                <w:color w:val="auto"/>
              </w:rPr>
            </w:pPr>
            <w:r>
              <w:rPr>
                <w:rFonts w:ascii="Arial" w:cs="Arial" w:eastAsia="Arial" w:hAnsi="Arial"/>
                <w:sz w:val="14"/>
                <w:szCs w:val="14"/>
                <w:b w:val="1"/>
                <w:bCs w:val="1"/>
                <w:color w:val="auto"/>
                <w:w w:val="89"/>
              </w:rPr>
              <w:t>(Expense)</w:t>
            </w:r>
          </w:p>
        </w:tc>
        <w:tc>
          <w:tcPr>
            <w:tcW w:w="260" w:type="dxa"/>
            <w:vAlign w:val="bottom"/>
          </w:tcPr>
          <w:p>
            <w:pPr>
              <w:spacing w:after="0"/>
              <w:rPr>
                <w:sz w:val="12"/>
                <w:szCs w:val="12"/>
                <w:color w:val="auto"/>
              </w:rPr>
            </w:pPr>
          </w:p>
        </w:tc>
        <w:tc>
          <w:tcPr>
            <w:tcW w:w="8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9"/>
              </w:rPr>
              <w:t>(Expense)</w:t>
            </w:r>
          </w:p>
        </w:tc>
        <w:tc>
          <w:tcPr>
            <w:tcW w:w="0" w:type="dxa"/>
            <w:vAlign w:val="bottom"/>
          </w:tcPr>
          <w:p>
            <w:pPr>
              <w:spacing w:after="0"/>
              <w:rPr>
                <w:sz w:val="1"/>
                <w:szCs w:val="1"/>
                <w:color w:val="auto"/>
              </w:rPr>
            </w:pPr>
          </w:p>
        </w:tc>
      </w:tr>
      <w:tr>
        <w:trPr>
          <w:trHeight w:val="147"/>
        </w:trPr>
        <w:tc>
          <w:tcPr>
            <w:tcW w:w="3900" w:type="dxa"/>
            <w:vAlign w:val="bottom"/>
            <w:gridSpan w:val="2"/>
          </w:tcPr>
          <w:p>
            <w:pPr>
              <w:spacing w:after="0" w:line="127" w:lineRule="exact"/>
              <w:rPr>
                <w:sz w:val="20"/>
                <w:szCs w:val="20"/>
                <w:color w:val="auto"/>
              </w:rPr>
            </w:pPr>
            <w:r>
              <w:rPr>
                <w:rFonts w:ascii="Arial" w:cs="Arial" w:eastAsia="Arial" w:hAnsi="Arial"/>
                <w:sz w:val="14"/>
                <w:szCs w:val="14"/>
                <w:b w:val="1"/>
                <w:bCs w:val="1"/>
                <w:color w:val="auto"/>
              </w:rPr>
              <w:t>Relationships</w:t>
            </w:r>
          </w:p>
        </w:tc>
        <w:tc>
          <w:tcPr>
            <w:tcW w:w="540" w:type="dxa"/>
            <w:vAlign w:val="bottom"/>
          </w:tcPr>
          <w:p>
            <w:pPr>
              <w:spacing w:after="0"/>
              <w:rPr>
                <w:sz w:val="12"/>
                <w:szCs w:val="12"/>
                <w:color w:val="auto"/>
              </w:rPr>
            </w:pPr>
          </w:p>
        </w:tc>
        <w:tc>
          <w:tcPr>
            <w:tcW w:w="88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0"/>
              </w:rPr>
              <w:t>Derivatives</w:t>
            </w:r>
          </w:p>
        </w:tc>
        <w:tc>
          <w:tcPr>
            <w:tcW w:w="300" w:type="dxa"/>
            <w:vAlign w:val="bottom"/>
          </w:tcPr>
          <w:p>
            <w:pPr>
              <w:spacing w:after="0"/>
              <w:rPr>
                <w:sz w:val="12"/>
                <w:szCs w:val="12"/>
                <w:color w:val="auto"/>
              </w:rPr>
            </w:pPr>
          </w:p>
        </w:tc>
        <w:tc>
          <w:tcPr>
            <w:tcW w:w="124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9"/>
              </w:rPr>
              <w:t>(Expense)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27" w:lineRule="exact"/>
              <w:rPr>
                <w:sz w:val="20"/>
                <w:szCs w:val="20"/>
                <w:color w:val="auto"/>
              </w:rPr>
            </w:pPr>
            <w:r>
              <w:rPr>
                <w:rFonts w:ascii="Arial" w:cs="Arial" w:eastAsia="Arial" w:hAnsi="Arial"/>
                <w:sz w:val="14"/>
                <w:szCs w:val="14"/>
                <w:b w:val="1"/>
                <w:bCs w:val="1"/>
                <w:color w:val="auto"/>
                <w:w w:val="89"/>
              </w:rPr>
              <w:t>(Expense)</w:t>
            </w:r>
          </w:p>
        </w:tc>
        <w:tc>
          <w:tcPr>
            <w:tcW w:w="1420" w:type="dxa"/>
            <w:vAlign w:val="bottom"/>
          </w:tcPr>
          <w:p>
            <w:pPr>
              <w:jc w:val="center"/>
              <w:ind w:right="104"/>
              <w:spacing w:after="0" w:line="127" w:lineRule="exact"/>
              <w:rPr>
                <w:sz w:val="20"/>
                <w:szCs w:val="20"/>
                <w:color w:val="auto"/>
              </w:rPr>
            </w:pPr>
            <w:r>
              <w:rPr>
                <w:rFonts w:ascii="Arial" w:cs="Arial" w:eastAsia="Arial" w:hAnsi="Arial"/>
                <w:sz w:val="14"/>
                <w:szCs w:val="14"/>
                <w:b w:val="1"/>
                <w:bCs w:val="1"/>
                <w:color w:val="auto"/>
                <w:w w:val="91"/>
              </w:rPr>
              <w:t>on Derivatives</w:t>
            </w:r>
          </w:p>
        </w:tc>
        <w:tc>
          <w:tcPr>
            <w:tcW w:w="1100" w:type="dxa"/>
            <w:vAlign w:val="bottom"/>
            <w:gridSpan w:val="3"/>
          </w:tcPr>
          <w:p>
            <w:pPr>
              <w:jc w:val="center"/>
              <w:ind w:left="19"/>
              <w:spacing w:after="0" w:line="127" w:lineRule="exact"/>
              <w:rPr>
                <w:sz w:val="20"/>
                <w:szCs w:val="20"/>
                <w:color w:val="auto"/>
              </w:rPr>
            </w:pPr>
            <w:r>
              <w:rPr>
                <w:rFonts w:ascii="Arial" w:cs="Arial" w:eastAsia="Arial" w:hAnsi="Arial"/>
                <w:sz w:val="14"/>
                <w:szCs w:val="14"/>
                <w:b w:val="1"/>
                <w:bCs w:val="1"/>
                <w:color w:val="auto"/>
                <w:w w:val="91"/>
              </w:rPr>
              <w:t>on Derivatives</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60" w:type="dxa"/>
            <w:vAlign w:val="bottom"/>
            <w:gridSpan w:val="3"/>
          </w:tcPr>
          <w:p>
            <w:pPr>
              <w:jc w:val="center"/>
              <w:spacing w:after="0" w:line="109" w:lineRule="exact"/>
              <w:rPr>
                <w:sz w:val="20"/>
                <w:szCs w:val="20"/>
                <w:color w:val="auto"/>
              </w:rPr>
            </w:pPr>
            <w:r>
              <w:rPr>
                <w:rFonts w:ascii="Arial" w:cs="Arial" w:eastAsia="Arial" w:hAnsi="Arial"/>
                <w:sz w:val="12"/>
                <w:szCs w:val="12"/>
                <w:color w:val="auto"/>
              </w:rPr>
              <w:t>(Ineffective Portion/Amounts</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7" w:lineRule="exact"/>
              <w:rPr>
                <w:sz w:val="20"/>
                <w:szCs w:val="20"/>
                <w:color w:val="auto"/>
              </w:rPr>
            </w:pPr>
            <w:r>
              <w:rPr>
                <w:rFonts w:ascii="Arial" w:cs="Arial" w:eastAsia="Arial" w:hAnsi="Arial"/>
                <w:sz w:val="14"/>
                <w:szCs w:val="14"/>
                <w:color w:val="auto"/>
                <w:w w:val="95"/>
              </w:rPr>
              <w:t>(Effective</w:t>
            </w:r>
          </w:p>
        </w:tc>
        <w:tc>
          <w:tcPr>
            <w:tcW w:w="3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color w:val="auto"/>
                <w:w w:val="95"/>
              </w:rPr>
              <w:t>(Effective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7" w:lineRule="exact"/>
              <w:rPr>
                <w:sz w:val="20"/>
                <w:szCs w:val="20"/>
                <w:color w:val="auto"/>
              </w:rPr>
            </w:pPr>
            <w:r>
              <w:rPr>
                <w:rFonts w:ascii="Arial" w:cs="Arial" w:eastAsia="Arial" w:hAnsi="Arial"/>
                <w:sz w:val="14"/>
                <w:szCs w:val="14"/>
                <w:color w:val="auto"/>
                <w:w w:val="95"/>
              </w:rPr>
              <w:t>(Effective</w:t>
            </w:r>
          </w:p>
        </w:tc>
        <w:tc>
          <w:tcPr>
            <w:tcW w:w="1680" w:type="dxa"/>
            <w:vAlign w:val="bottom"/>
            <w:gridSpan w:val="2"/>
          </w:tcPr>
          <w:p>
            <w:pPr>
              <w:jc w:val="center"/>
              <w:ind w:left="704"/>
              <w:spacing w:after="0" w:line="147" w:lineRule="exact"/>
              <w:rPr>
                <w:sz w:val="20"/>
                <w:szCs w:val="20"/>
                <w:color w:val="auto"/>
              </w:rPr>
            </w:pPr>
            <w:r>
              <w:rPr>
                <w:rFonts w:ascii="Arial" w:cs="Arial" w:eastAsia="Arial" w:hAnsi="Arial"/>
                <w:sz w:val="14"/>
                <w:szCs w:val="14"/>
                <w:color w:val="auto"/>
                <w:w w:val="93"/>
              </w:rPr>
              <w:t>excluded from</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Portion)</w:t>
            </w:r>
          </w:p>
        </w:tc>
        <w:tc>
          <w:tcPr>
            <w:tcW w:w="3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Portion)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color w:val="auto"/>
                <w:w w:val="97"/>
              </w:rPr>
              <w:t>Portion)</w:t>
            </w:r>
          </w:p>
        </w:tc>
        <w:tc>
          <w:tcPr>
            <w:tcW w:w="2520" w:type="dxa"/>
            <w:vAlign w:val="bottom"/>
            <w:gridSpan w:val="4"/>
          </w:tcPr>
          <w:p>
            <w:pPr>
              <w:jc w:val="center"/>
              <w:ind w:right="40"/>
              <w:spacing w:after="0"/>
              <w:rPr>
                <w:sz w:val="20"/>
                <w:szCs w:val="20"/>
                <w:color w:val="auto"/>
              </w:rPr>
            </w:pPr>
            <w:r>
              <w:rPr>
                <w:rFonts w:ascii="Arial" w:cs="Arial" w:eastAsia="Arial" w:hAnsi="Arial"/>
                <w:sz w:val="14"/>
                <w:szCs w:val="14"/>
                <w:color w:val="auto"/>
                <w:w w:val="91"/>
              </w:rPr>
              <w:t>effectiveness testing)</w:t>
            </w:r>
          </w:p>
        </w:tc>
        <w:tc>
          <w:tcPr>
            <w:tcW w:w="0" w:type="dxa"/>
            <w:vAlign w:val="bottom"/>
          </w:tcPr>
          <w:p>
            <w:pPr>
              <w:spacing w:after="0"/>
              <w:rPr>
                <w:sz w:val="1"/>
                <w:szCs w:val="1"/>
                <w:color w:val="auto"/>
              </w:rPr>
            </w:pPr>
          </w:p>
        </w:tc>
      </w:tr>
      <w:tr>
        <w:trPr>
          <w:trHeight w:val="214"/>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85"/>
              </w:rPr>
              <w:t>Interest Expense</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85"/>
              </w:rPr>
              <w:t>Interest Expense</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85"/>
              </w:rPr>
              <w:t>Interest Expense</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00" w:type="dxa"/>
            <w:vAlign w:val="bottom"/>
            <w:gridSpan w:val="2"/>
          </w:tcPr>
          <w:p>
            <w:pPr>
              <w:spacing w:after="0"/>
              <w:rPr>
                <w:sz w:val="20"/>
                <w:szCs w:val="20"/>
                <w:color w:val="auto"/>
              </w:rPr>
            </w:pPr>
            <w:r>
              <w:rPr>
                <w:rFonts w:ascii="Arial" w:cs="Arial" w:eastAsia="Arial" w:hAnsi="Arial"/>
                <w:sz w:val="18"/>
                <w:szCs w:val="18"/>
                <w:color w:val="auto"/>
              </w:rPr>
              <w:t>Interest-Rate Swap Contract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85"/>
              </w:rPr>
              <w:t>Interest Expense</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420" w:type="dxa"/>
            <w:vAlign w:val="bottom"/>
          </w:tcPr>
          <w:p>
            <w:pPr>
              <w:ind w:left="60"/>
              <w:spacing w:after="0"/>
              <w:rPr>
                <w:sz w:val="20"/>
                <w:szCs w:val="20"/>
                <w:color w:val="auto"/>
              </w:rPr>
            </w:pPr>
            <w:r>
              <w:rPr>
                <w:rFonts w:ascii="Arial" w:cs="Arial" w:eastAsia="Arial" w:hAnsi="Arial"/>
                <w:sz w:val="18"/>
                <w:szCs w:val="18"/>
                <w:color w:val="auto"/>
                <w:w w:val="99"/>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Information on the location and amounts of derivative fair values in the Condensed Consolidated Balance Sheets (in thousands):</w:t>
      </w:r>
    </w:p>
    <w:p>
      <w:pPr>
        <w:spacing w:after="0" w:line="268"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w:t>
            </w:r>
          </w:p>
        </w:tc>
        <w:tc>
          <w:tcPr>
            <w:tcW w:w="1040" w:type="dxa"/>
            <w:vAlign w:val="bottom"/>
          </w:tcPr>
          <w:p>
            <w:pPr>
              <w:spacing w:after="0"/>
              <w:rPr>
                <w:sz w:val="14"/>
                <w:szCs w:val="14"/>
                <w:color w:val="auto"/>
              </w:rPr>
            </w:pPr>
          </w:p>
        </w:tc>
        <w:tc>
          <w:tcPr>
            <w:tcW w:w="18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3"/>
              </w:rPr>
              <w:t>December 31, 2020</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2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right="420"/>
              <w:spacing w:after="0" w:line="114" w:lineRule="exact"/>
              <w:rPr>
                <w:sz w:val="20"/>
                <w:szCs w:val="20"/>
                <w:color w:val="auto"/>
              </w:rPr>
            </w:pPr>
            <w:r>
              <w:rPr>
                <w:rFonts w:ascii="Arial" w:cs="Arial" w:eastAsia="Arial" w:hAnsi="Arial"/>
                <w:sz w:val="13"/>
                <w:szCs w:val="13"/>
                <w:b w:val="1"/>
                <w:bCs w:val="1"/>
                <w:color w:val="auto"/>
                <w:w w:val="96"/>
              </w:rPr>
              <w:t>Balance Sheet Location</w:t>
            </w:r>
          </w:p>
        </w:tc>
        <w:tc>
          <w:tcPr>
            <w:tcW w:w="780" w:type="dxa"/>
            <w:vAlign w:val="bottom"/>
            <w:gridSpan w:val="3"/>
          </w:tcPr>
          <w:p>
            <w:pPr>
              <w:ind w:left="120"/>
              <w:spacing w:after="0" w:line="114" w:lineRule="exact"/>
              <w:rPr>
                <w:sz w:val="20"/>
                <w:szCs w:val="20"/>
                <w:color w:val="auto"/>
              </w:rPr>
            </w:pPr>
            <w:r>
              <w:rPr>
                <w:rFonts w:ascii="Arial" w:cs="Arial" w:eastAsia="Arial" w:hAnsi="Arial"/>
                <w:sz w:val="13"/>
                <w:szCs w:val="13"/>
                <w:b w:val="1"/>
                <w:bCs w:val="1"/>
                <w:color w:val="auto"/>
              </w:rPr>
              <w:t>Fair Value</w:t>
            </w:r>
          </w:p>
        </w:tc>
        <w:tc>
          <w:tcPr>
            <w:tcW w:w="580" w:type="dxa"/>
            <w:vAlign w:val="bottom"/>
          </w:tcPr>
          <w:p>
            <w:pPr>
              <w:spacing w:after="0"/>
              <w:rPr>
                <w:sz w:val="11"/>
                <w:szCs w:val="11"/>
                <w:color w:val="auto"/>
              </w:rPr>
            </w:pPr>
          </w:p>
        </w:tc>
        <w:tc>
          <w:tcPr>
            <w:tcW w:w="1920" w:type="dxa"/>
            <w:vAlign w:val="bottom"/>
            <w:gridSpan w:val="2"/>
          </w:tcPr>
          <w:p>
            <w:pPr>
              <w:jc w:val="center"/>
              <w:ind w:right="500"/>
              <w:spacing w:after="0" w:line="114" w:lineRule="exact"/>
              <w:rPr>
                <w:sz w:val="20"/>
                <w:szCs w:val="20"/>
                <w:color w:val="auto"/>
              </w:rPr>
            </w:pPr>
            <w:r>
              <w:rPr>
                <w:rFonts w:ascii="Arial" w:cs="Arial" w:eastAsia="Arial" w:hAnsi="Arial"/>
                <w:sz w:val="13"/>
                <w:szCs w:val="13"/>
                <w:b w:val="1"/>
                <w:bCs w:val="1"/>
                <w:color w:val="auto"/>
                <w:w w:val="96"/>
              </w:rPr>
              <w:t>Balance Sheet Location</w:t>
            </w:r>
          </w:p>
        </w:tc>
        <w:tc>
          <w:tcPr>
            <w:tcW w:w="680" w:type="dxa"/>
            <w:vAlign w:val="bottom"/>
            <w:gridSpan w:val="3"/>
          </w:tcPr>
          <w:p>
            <w:pPr>
              <w:ind w:left="40"/>
              <w:spacing w:after="0" w:line="114" w:lineRule="exact"/>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12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color w:val="auto"/>
              </w:rPr>
              <w:t>Interest-Rate Swap Contracts</w:t>
            </w:r>
          </w:p>
        </w:tc>
        <w:tc>
          <w:tcPr>
            <w:tcW w:w="104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color w:val="auto"/>
                <w:w w:val="90"/>
              </w:rPr>
              <w:t>Other Current</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color w:val="auto"/>
                <w:w w:val="89"/>
              </w:rPr>
              <w:t>Other Current</w:t>
            </w: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7"/>
              </w:rPr>
              <w:t>Liabilities</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Liabilities</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80" w:right="160" w:firstLine="436"/>
        <w:spacing w:after="0" w:line="270" w:lineRule="auto"/>
        <w:rPr>
          <w:sz w:val="20"/>
          <w:szCs w:val="20"/>
          <w:color w:val="auto"/>
        </w:rPr>
      </w:pPr>
      <w:r>
        <w:rPr>
          <w:rFonts w:ascii="Arial" w:cs="Arial" w:eastAsia="Arial" w:hAnsi="Arial"/>
          <w:sz w:val="18"/>
          <w:szCs w:val="18"/>
          <w:color w:val="auto"/>
        </w:rPr>
        <w:t>The estimated amount of pretax expense as of June 30, 2021 that is expected to be reclassified from other comprehensive income into earnings within the next 12 months is $0.</w:t>
      </w:r>
    </w:p>
    <w:p>
      <w:pPr>
        <w:spacing w:after="0" w:line="318" w:lineRule="exact"/>
        <w:rPr>
          <w:sz w:val="20"/>
          <w:szCs w:val="20"/>
          <w:color w:val="auto"/>
        </w:rPr>
      </w:pPr>
    </w:p>
    <w:p>
      <w:pPr>
        <w:ind w:left="600" w:hanging="426"/>
        <w:spacing w:after="0"/>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8" w:lineRule="exact"/>
        <w:rPr>
          <w:sz w:val="20"/>
          <w:szCs w:val="20"/>
          <w:color w:val="auto"/>
        </w:rPr>
      </w:pPr>
    </w:p>
    <w:p>
      <w:pPr>
        <w:ind w:left="180" w:firstLine="436"/>
        <w:spacing w:after="0" w:line="255" w:lineRule="auto"/>
        <w:rPr>
          <w:sz w:val="20"/>
          <w:szCs w:val="20"/>
          <w:color w:val="auto"/>
        </w:rPr>
      </w:pPr>
      <w:r>
        <w:rPr>
          <w:rFonts w:ascii="Arial" w:cs="Arial" w:eastAsia="Arial" w:hAnsi="Arial"/>
          <w:sz w:val="18"/>
          <w:szCs w:val="18"/>
          <w:color w:val="auto"/>
        </w:rPr>
        <w:t>The Company has adopted the provisions of ASC 820, “Fair Value Measurements and Disclosures”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95" w:lineRule="exact"/>
        <w:rPr>
          <w:sz w:val="20"/>
          <w:szCs w:val="20"/>
          <w:color w:val="auto"/>
        </w:rPr>
      </w:pPr>
    </w:p>
    <w:p>
      <w:pPr>
        <w:ind w:left="1140" w:hanging="539"/>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1—Inputs are observable quoted prices (unadjusted) in active markets for identical assets and liabilities.</w:t>
      </w:r>
    </w:p>
    <w:p>
      <w:pPr>
        <w:spacing w:after="0" w:line="126" w:lineRule="exact"/>
        <w:rPr>
          <w:rFonts w:ascii="Arial" w:cs="Arial" w:eastAsia="Arial" w:hAnsi="Arial"/>
          <w:sz w:val="18"/>
          <w:szCs w:val="18"/>
          <w:color w:val="auto"/>
        </w:rPr>
      </w:pPr>
    </w:p>
    <w:p>
      <w:pPr>
        <w:ind w:left="1140" w:right="20" w:hanging="539"/>
        <w:spacing w:after="0" w:line="259"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91" w:lineRule="exact"/>
        <w:rPr>
          <w:rFonts w:ascii="Arial" w:cs="Arial" w:eastAsia="Arial" w:hAnsi="Arial"/>
          <w:sz w:val="18"/>
          <w:szCs w:val="18"/>
          <w:color w:val="auto"/>
        </w:rPr>
      </w:pPr>
    </w:p>
    <w:p>
      <w:pPr>
        <w:ind w:left="1140" w:hanging="539"/>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3—Inputs are unobservable that are supported by little or no market activity.</w:t>
      </w:r>
    </w:p>
    <w:p>
      <w:pPr>
        <w:spacing w:after="0" w:line="220" w:lineRule="exact"/>
        <w:rPr>
          <w:sz w:val="20"/>
          <w:szCs w:val="20"/>
          <w:color w:val="auto"/>
        </w:rPr>
      </w:pPr>
    </w:p>
    <w:p>
      <w:pPr>
        <w:ind w:left="180" w:right="180" w:firstLine="436"/>
        <w:spacing w:after="0" w:line="270" w:lineRule="auto"/>
        <w:rPr>
          <w:sz w:val="20"/>
          <w:szCs w:val="20"/>
          <w:color w:val="auto"/>
        </w:rPr>
      </w:pPr>
      <w:r>
        <w:rPr>
          <w:rFonts w:ascii="Arial" w:cs="Arial" w:eastAsia="Arial" w:hAnsi="Arial"/>
          <w:sz w:val="18"/>
          <w:szCs w:val="18"/>
          <w:color w:val="auto"/>
        </w:rPr>
        <w:t>At June 30, 2021 and December 31, 2020, the Company carried the following financial assets (liabilities) at fair value measured on a recurring basis (in thousands):</w:t>
      </w:r>
    </w:p>
    <w:p>
      <w:pPr>
        <w:spacing w:after="0" w:line="20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3"/>
              </w:rPr>
              <w:t>Fair Value as of June 30, 2021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line="114" w:lineRule="exact"/>
              <w:rPr>
                <w:sz w:val="20"/>
                <w:szCs w:val="20"/>
                <w:color w:val="auto"/>
              </w:rPr>
            </w:pPr>
            <w:r>
              <w:rPr>
                <w:rFonts w:ascii="Arial" w:cs="Arial" w:eastAsia="Arial" w:hAnsi="Arial"/>
                <w:sz w:val="13"/>
                <w:szCs w:val="13"/>
                <w:b w:val="1"/>
                <w:bCs w:val="1"/>
                <w:color w:val="auto"/>
                <w:w w:val="90"/>
              </w:rPr>
              <w:t>Level 1</w:t>
            </w:r>
          </w:p>
        </w:tc>
        <w:tc>
          <w:tcPr>
            <w:tcW w:w="1100" w:type="dxa"/>
            <w:vAlign w:val="bottom"/>
            <w:gridSpan w:val="3"/>
          </w:tcPr>
          <w:p>
            <w:pPr>
              <w:ind w:left="420"/>
              <w:spacing w:after="0" w:line="114" w:lineRule="exact"/>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1"/>
                <w:szCs w:val="11"/>
                <w:color w:val="auto"/>
              </w:rPr>
            </w:pPr>
          </w:p>
        </w:tc>
        <w:tc>
          <w:tcPr>
            <w:tcW w:w="880" w:type="dxa"/>
            <w:vAlign w:val="bottom"/>
            <w:gridSpan w:val="3"/>
          </w:tcPr>
          <w:p>
            <w:pPr>
              <w:ind w:left="60"/>
              <w:spacing w:after="0" w:line="114"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9"/>
              <w:spacing w:after="0" w:line="11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0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Interest-Rate Swap Contracts</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w w:val="96"/>
              </w:rPr>
              <w:t>$ —</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line="194"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19"/>
              <w:spacing w:after="0" w:line="194"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Arial" w:cs="Arial" w:eastAsia="Arial" w:hAnsi="Arial"/>
                <w:sz w:val="18"/>
                <w:szCs w:val="18"/>
                <w:color w:val="auto"/>
              </w:rPr>
              <w:t>Contingent Consideration Liabilities</w:t>
            </w:r>
          </w:p>
        </w:tc>
        <w:tc>
          <w:tcPr>
            <w:tcW w:w="440" w:type="dxa"/>
            <w:vAlign w:val="bottom"/>
            <w:gridSpan w:val="2"/>
          </w:tcPr>
          <w:p>
            <w:pPr>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5"/>
              </w:rPr>
              <w:t>Fair Value as of December 31, 2020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line="114" w:lineRule="exact"/>
              <w:rPr>
                <w:sz w:val="20"/>
                <w:szCs w:val="20"/>
                <w:color w:val="auto"/>
              </w:rPr>
            </w:pPr>
            <w:r>
              <w:rPr>
                <w:rFonts w:ascii="Arial" w:cs="Arial" w:eastAsia="Arial" w:hAnsi="Arial"/>
                <w:sz w:val="13"/>
                <w:szCs w:val="13"/>
                <w:b w:val="1"/>
                <w:bCs w:val="1"/>
                <w:color w:val="auto"/>
                <w:w w:val="90"/>
              </w:rPr>
              <w:t>Level 1</w:t>
            </w:r>
          </w:p>
        </w:tc>
        <w:tc>
          <w:tcPr>
            <w:tcW w:w="1100" w:type="dxa"/>
            <w:vAlign w:val="bottom"/>
            <w:gridSpan w:val="3"/>
          </w:tcPr>
          <w:p>
            <w:pPr>
              <w:ind w:left="420"/>
              <w:spacing w:after="0" w:line="114" w:lineRule="exact"/>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1"/>
                <w:szCs w:val="11"/>
                <w:color w:val="auto"/>
              </w:rPr>
            </w:pPr>
          </w:p>
        </w:tc>
        <w:tc>
          <w:tcPr>
            <w:tcW w:w="880" w:type="dxa"/>
            <w:vAlign w:val="bottom"/>
            <w:gridSpan w:val="3"/>
          </w:tcPr>
          <w:p>
            <w:pPr>
              <w:ind w:left="60"/>
              <w:spacing w:after="0" w:line="114"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9"/>
              <w:spacing w:after="0" w:line="11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0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Interest-Rate Swap Contracts</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80"/>
              </w:rPr>
              <w:t>$  (35)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line="194"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Arial" w:cs="Arial" w:eastAsia="Arial" w:hAnsi="Arial"/>
                <w:sz w:val="18"/>
                <w:szCs w:val="18"/>
                <w:color w:val="auto"/>
              </w:rPr>
              <w:t>Contingent Consideration Liabilities</w:t>
            </w:r>
          </w:p>
        </w:tc>
        <w:tc>
          <w:tcPr>
            <w:tcW w:w="440" w:type="dxa"/>
            <w:vAlign w:val="bottom"/>
            <w:gridSpan w:val="2"/>
          </w:tcPr>
          <w:p>
            <w:pPr>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1040" w:type="dxa"/>
            <w:vAlign w:val="bottom"/>
            <w:gridSpan w:val="4"/>
          </w:tcPr>
          <w:p>
            <w:pPr>
              <w:ind w:lef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(2,882)</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(2,882)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120" w:firstLine="436"/>
        <w:spacing w:after="0" w:line="270" w:lineRule="auto"/>
        <w:rPr>
          <w:sz w:val="20"/>
          <w:szCs w:val="20"/>
          <w:color w:val="auto"/>
        </w:rPr>
      </w:pPr>
      <w:r>
        <w:rPr>
          <w:rFonts w:ascii="Arial" w:cs="Arial" w:eastAsia="Arial" w:hAnsi="Arial"/>
          <w:sz w:val="18"/>
          <w:szCs w:val="18"/>
          <w:color w:val="auto"/>
        </w:rPr>
        <w:t>The fair value of interest-rate swap contracts are based on quoted prices for similar instruments from a commercial bank, and therefore, the fair value measurement is considered to be within Level 2.</w:t>
      </w:r>
    </w:p>
    <w:p>
      <w:pPr>
        <w:spacing w:after="0" w:line="175" w:lineRule="exact"/>
        <w:rPr>
          <w:sz w:val="20"/>
          <w:szCs w:val="20"/>
          <w:color w:val="auto"/>
        </w:rPr>
      </w:pPr>
    </w:p>
    <w:p>
      <w:pPr>
        <w:ind w:left="180" w:right="140" w:firstLine="436"/>
        <w:spacing w:after="0" w:line="270" w:lineRule="auto"/>
        <w:rPr>
          <w:sz w:val="20"/>
          <w:szCs w:val="20"/>
          <w:color w:val="auto"/>
        </w:rPr>
      </w:pPr>
      <w:r>
        <w:rPr>
          <w:rFonts w:ascii="Arial" w:cs="Arial" w:eastAsia="Arial" w:hAnsi="Arial"/>
          <w:sz w:val="18"/>
          <w:szCs w:val="18"/>
          <w:color w:val="auto"/>
        </w:rPr>
        <w:t>The fair value of the contingent consideration liability was estimated by utilizing a probability weighted simulation model to determine the fair value of contingent consideration, and therefore, the fair value measurement is considered to be within Level 3.</w:t>
      </w:r>
    </w:p>
    <w:p>
      <w:pPr>
        <w:spacing w:after="0" w:line="175" w:lineRule="exact"/>
        <w:rPr>
          <w:sz w:val="20"/>
          <w:szCs w:val="20"/>
          <w:color w:val="auto"/>
        </w:rPr>
      </w:pPr>
    </w:p>
    <w:p>
      <w:pPr>
        <w:ind w:left="180" w:right="80" w:firstLine="436"/>
        <w:spacing w:after="0" w:line="255" w:lineRule="auto"/>
        <w:rPr>
          <w:sz w:val="20"/>
          <w:szCs w:val="20"/>
          <w:color w:val="auto"/>
        </w:rPr>
      </w:pPr>
      <w:r>
        <w:rPr>
          <w:rFonts w:ascii="Arial" w:cs="Arial" w:eastAsia="Arial" w:hAnsi="Arial"/>
          <w:sz w:val="18"/>
          <w:szCs w:val="18"/>
          <w:color w:val="auto"/>
        </w:rPr>
        <w:t>In 2020, the Company incurred a $2.9 million contingent consideration liability related to the AmberLeaf acquisition. During the three months ended June 30, 2021, the Company revalued the contingent consideration liability related to the AmberLeaf acquisition after determining that relevant conditions for payment of such liabilities were unlikely to be fully satisfied. The revaluation resulted in a $2.0 million reduction to the contingent consideration liability.</w:t>
      </w:r>
    </w:p>
    <w:p>
      <w:pPr>
        <w:spacing w:after="0" w:line="189" w:lineRule="exact"/>
        <w:rPr>
          <w:sz w:val="20"/>
          <w:szCs w:val="20"/>
          <w:color w:val="auto"/>
        </w:rPr>
      </w:pPr>
    </w:p>
    <w:p>
      <w:pPr>
        <w:ind w:left="180" w:right="140" w:firstLine="436"/>
        <w:spacing w:after="0" w:line="270" w:lineRule="auto"/>
        <w:rPr>
          <w:sz w:val="20"/>
          <w:szCs w:val="20"/>
          <w:color w:val="auto"/>
        </w:rPr>
      </w:pPr>
      <w:r>
        <w:rPr>
          <w:rFonts w:ascii="Arial" w:cs="Arial" w:eastAsia="Arial" w:hAnsi="Arial"/>
          <w:sz w:val="18"/>
          <w:szCs w:val="18"/>
          <w:color w:val="auto"/>
        </w:rPr>
        <w:t>The following table provides information regarding changes in the Company’s contingent consideration liability for the periods ended June 30, 2021 and December 31, 2020.</w:t>
      </w:r>
    </w:p>
    <w:p>
      <w:pPr>
        <w:spacing w:after="0" w:line="1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82"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20" w:type="dxa"/>
            <w:vAlign w:val="bottom"/>
            <w:gridSpan w:val="4"/>
          </w:tcPr>
          <w:p>
            <w:pPr>
              <w:ind w:left="900"/>
              <w:spacing w:after="0"/>
              <w:rPr>
                <w:sz w:val="20"/>
                <w:szCs w:val="20"/>
                <w:color w:val="auto"/>
              </w:rPr>
            </w:pPr>
            <w:r>
              <w:rPr>
                <w:rFonts w:ascii="Arial" w:cs="Arial" w:eastAsia="Arial" w:hAnsi="Arial"/>
                <w:sz w:val="14"/>
                <w:szCs w:val="14"/>
                <w:b w:val="1"/>
                <w:bCs w:val="1"/>
                <w:color w:val="auto"/>
              </w:rPr>
              <w:t>Six Months Ended</w:t>
            </w:r>
          </w:p>
        </w:tc>
        <w:tc>
          <w:tcPr>
            <w:tcW w:w="1840" w:type="dxa"/>
            <w:vAlign w:val="bottom"/>
            <w:gridSpan w:val="4"/>
          </w:tcPr>
          <w:p>
            <w:pPr>
              <w:ind w:left="420"/>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June 30, 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jc w:val="right"/>
              <w:ind w:right="894"/>
              <w:spacing w:after="0" w:line="141" w:lineRule="exact"/>
              <w:rPr>
                <w:sz w:val="20"/>
                <w:szCs w:val="20"/>
                <w:color w:val="auto"/>
              </w:rPr>
            </w:pPr>
            <w:r>
              <w:rPr>
                <w:rFonts w:ascii="Arial" w:cs="Arial" w:eastAsia="Arial" w:hAnsi="Arial"/>
                <w:sz w:val="14"/>
                <w:szCs w:val="14"/>
                <w:b w:val="1"/>
                <w:bCs w:val="1"/>
                <w:color w:val="auto"/>
              </w:rPr>
              <w:t>(Amounts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Contingent consideration liability incurred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Revaluations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(1,982)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00" w:hanging="426"/>
        <w:spacing w:after="0"/>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18" w:lineRule="exact"/>
        <w:rPr>
          <w:sz w:val="20"/>
          <w:szCs w:val="20"/>
          <w:color w:val="auto"/>
        </w:rPr>
      </w:pPr>
    </w:p>
    <w:p>
      <w:pPr>
        <w:ind w:left="180" w:right="100" w:firstLine="436"/>
        <w:spacing w:after="0" w:line="270" w:lineRule="auto"/>
        <w:rPr>
          <w:sz w:val="20"/>
          <w:szCs w:val="20"/>
          <w:color w:val="auto"/>
        </w:rPr>
      </w:pPr>
      <w:r>
        <w:rPr>
          <w:rFonts w:ascii="Arial" w:cs="Arial" w:eastAsia="Arial" w:hAnsi="Arial"/>
          <w:sz w:val="18"/>
          <w:szCs w:val="18"/>
          <w:color w:val="auto"/>
        </w:rPr>
        <w:t>The Company purchases shares to satisfy employee tax obligations related to its Stock Incentive Plan. The Company did not purchase any shares during the six months ended June 30, 2021 and 2020.</w:t>
      </w:r>
    </w:p>
    <w:p>
      <w:pPr>
        <w:spacing w:after="0" w:line="318" w:lineRule="exact"/>
        <w:rPr>
          <w:sz w:val="20"/>
          <w:szCs w:val="20"/>
          <w:color w:val="auto"/>
        </w:rPr>
      </w:pPr>
    </w:p>
    <w:p>
      <w:pPr>
        <w:ind w:left="600" w:hanging="426"/>
        <w:spacing w:after="0"/>
        <w:tabs>
          <w:tab w:leader="none" w:pos="6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8" w:lineRule="exact"/>
        <w:rPr>
          <w:sz w:val="20"/>
          <w:szCs w:val="20"/>
          <w:color w:val="auto"/>
        </w:rPr>
      </w:pPr>
    </w:p>
    <w:p>
      <w:pPr>
        <w:jc w:val="both"/>
        <w:ind w:left="180" w:right="140" w:firstLine="436"/>
        <w:spacing w:after="0" w:line="259" w:lineRule="auto"/>
        <w:rPr>
          <w:sz w:val="20"/>
          <w:szCs w:val="20"/>
          <w:color w:val="auto"/>
        </w:rPr>
      </w:pPr>
      <w:r>
        <w:rPr>
          <w:rFonts w:ascii="Arial" w:cs="Arial" w:eastAsia="Arial" w:hAnsi="Arial"/>
          <w:sz w:val="18"/>
          <w:szCs w:val="18"/>
          <w:color w:val="auto"/>
        </w:rPr>
        <w:t>The computation of basic earnings per share is based on the Company’s net income divided by the weighted average number of common shares outstanding. Diluted earnings per share reflect the potential dilution that could occur if outstanding stock options were exercised. The dilutive effect of stock options was calculated using the treasury stock method.</w:t>
      </w:r>
    </w:p>
    <w:p>
      <w:pPr>
        <w:spacing w:after="0" w:line="185" w:lineRule="exact"/>
        <w:rPr>
          <w:sz w:val="20"/>
          <w:szCs w:val="20"/>
          <w:color w:val="auto"/>
        </w:rPr>
      </w:pPr>
    </w:p>
    <w:p>
      <w:pPr>
        <w:ind w:left="180" w:right="40" w:firstLine="436"/>
        <w:spacing w:after="0" w:line="259" w:lineRule="auto"/>
        <w:rPr>
          <w:sz w:val="20"/>
          <w:szCs w:val="20"/>
          <w:color w:val="auto"/>
        </w:rPr>
      </w:pPr>
      <w:r>
        <w:rPr>
          <w:rFonts w:ascii="Arial" w:cs="Arial" w:eastAsia="Arial" w:hAnsi="Arial"/>
          <w:sz w:val="18"/>
          <w:szCs w:val="18"/>
          <w:color w:val="auto"/>
        </w:rPr>
        <w:t>For the three and six months ended June 30, 2021, there were 270,000 anti-dilutive stock options excluded from the computation of diluted earnings per share. For the three months and six months ended June 30, 2020, there were 0 anti-dilutive stock options excluded from the computation of diluted earnings per share.</w:t>
      </w:r>
    </w:p>
    <w:p>
      <w:pPr>
        <w:spacing w:after="0" w:line="328" w:lineRule="exact"/>
        <w:rPr>
          <w:sz w:val="20"/>
          <w:szCs w:val="20"/>
          <w:color w:val="auto"/>
        </w:rPr>
      </w:pPr>
    </w:p>
    <w:p>
      <w:pPr>
        <w:ind w:left="600" w:hanging="426"/>
        <w:spacing w:after="0"/>
        <w:tabs>
          <w:tab w:leader="none" w:pos="6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Geographic Information</w:t>
      </w:r>
    </w:p>
    <w:p>
      <w:pPr>
        <w:spacing w:after="0" w:line="11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Our reporting segments are: 1) Data and Analytics Services; and 2) IT Staffing Services.</w:t>
      </w:r>
    </w:p>
    <w:p>
      <w:pPr>
        <w:spacing w:after="0" w:line="220" w:lineRule="exact"/>
        <w:rPr>
          <w:sz w:val="20"/>
          <w:szCs w:val="20"/>
          <w:color w:val="auto"/>
        </w:rPr>
      </w:pPr>
    </w:p>
    <w:p>
      <w:pPr>
        <w:ind w:left="180" w:right="20" w:firstLine="436"/>
        <w:spacing w:after="0" w:line="288" w:lineRule="auto"/>
        <w:rPr>
          <w:sz w:val="20"/>
          <w:szCs w:val="20"/>
          <w:color w:val="auto"/>
        </w:rPr>
      </w:pPr>
      <w:r>
        <w:rPr>
          <w:rFonts w:ascii="Arial" w:cs="Arial" w:eastAsia="Arial" w:hAnsi="Arial"/>
          <w:sz w:val="16"/>
          <w:szCs w:val="16"/>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London, Dublin and Singapore,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64" w:lineRule="exact"/>
        <w:rPr>
          <w:sz w:val="20"/>
          <w:szCs w:val="20"/>
          <w:color w:val="auto"/>
        </w:rPr>
      </w:pPr>
    </w:p>
    <w:p>
      <w:pPr>
        <w:ind w:left="180" w:firstLine="436"/>
        <w:spacing w:after="0" w:line="255" w:lineRule="auto"/>
        <w:rPr>
          <w:sz w:val="20"/>
          <w:szCs w:val="20"/>
          <w:color w:val="auto"/>
        </w:rPr>
      </w:pPr>
      <w:r>
        <w:rPr>
          <w:rFonts w:ascii="Arial" w:cs="Arial" w:eastAsia="Arial" w:hAnsi="Arial"/>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9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6"/>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left="416"/>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3"/>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4"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3"/>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3"/>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8,950</w:t>
            </w: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6,772</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17,744</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44,708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40,811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83,876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8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53,658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47,583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103,433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98,008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700"/>
              <w:spacing w:after="0"/>
              <w:rPr>
                <w:sz w:val="20"/>
                <w:szCs w:val="20"/>
                <w:color w:val="auto"/>
              </w:rPr>
            </w:pPr>
            <w:r>
              <w:rPr>
                <w:rFonts w:ascii="Arial" w:cs="Arial" w:eastAsia="Arial" w:hAnsi="Arial"/>
                <w:sz w:val="18"/>
                <w:szCs w:val="18"/>
                <w:color w:val="auto"/>
              </w:rPr>
              <w:t>Total gross margin %</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769</w:t>
            </w: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1,173</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1,163</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700"/>
              <w:spacing w:after="0"/>
              <w:rPr>
                <w:sz w:val="20"/>
                <w:szCs w:val="20"/>
                <w:color w:val="auto"/>
              </w:rPr>
            </w:pPr>
            <w:r>
              <w:rPr>
                <w:rFonts w:ascii="Arial" w:cs="Arial" w:eastAsia="Arial" w:hAnsi="Arial"/>
                <w:sz w:val="18"/>
                <w:szCs w:val="18"/>
                <w:color w:val="auto"/>
              </w:rPr>
              <w:t>Subtotal</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4,283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1040"/>
          </w:cols>
          <w:pgMar w:left="320" w:top="482" w:right="539" w:bottom="1440" w:gutter="0" w:footer="0" w:header="0"/>
        </w:sect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40"/>
          </w:cols>
          <w:pgMar w:left="320" w:top="482" w:right="5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6"/>
          </w:tcPr>
          <w:p>
            <w:pPr>
              <w:jc w:val="center"/>
              <w:ind w:left="278"/>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5"/>
          </w:tcPr>
          <w:p>
            <w:pPr>
              <w:jc w:val="right"/>
              <w:ind w:right="80"/>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8"/>
              <w:spacing w:after="0" w:line="154"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w w:val="83"/>
              </w:rPr>
              <w:t>2020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9"/>
          </w:tcPr>
          <w:p>
            <w:pPr>
              <w:jc w:val="center"/>
              <w:spacing w:after="0" w:line="141" w:lineRule="exact"/>
              <w:rPr>
                <w:sz w:val="20"/>
                <w:szCs w:val="20"/>
                <w:color w:val="auto"/>
              </w:rPr>
            </w:pPr>
            <w:r>
              <w:rPr>
                <w:rFonts w:ascii="Arial" w:cs="Arial" w:eastAsia="Arial" w:hAnsi="Arial"/>
                <w:sz w:val="14"/>
                <w:szCs w:val="14"/>
                <w:b w:val="1"/>
                <w:bCs w:val="1"/>
                <w:color w:val="auto"/>
                <w:w w:val="90"/>
              </w:rPr>
              <w:t>(Amounts 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8"/>
          </w:tcPr>
          <w:p>
            <w:pPr>
              <w:jc w:val="center"/>
              <w:spacing w:after="0" w:line="141" w:lineRule="exact"/>
              <w:rPr>
                <w:sz w:val="20"/>
                <w:szCs w:val="20"/>
                <w:color w:val="auto"/>
              </w:rPr>
            </w:pPr>
            <w:r>
              <w:rPr>
                <w:rFonts w:ascii="Arial" w:cs="Arial" w:eastAsia="Arial" w:hAnsi="Arial"/>
                <w:sz w:val="14"/>
                <w:szCs w:val="14"/>
                <w:b w:val="1"/>
                <w:bCs w:val="1"/>
                <w:color w:val="auto"/>
                <w:w w:val="89"/>
              </w:rPr>
              <w:t>(Amounts in thousands)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100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(1,586)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gridSpan w:val="2"/>
          </w:tcPr>
          <w:p>
            <w:pPr>
              <w:ind w:left="360"/>
              <w:spacing w:after="0"/>
              <w:rPr>
                <w:sz w:val="20"/>
                <w:szCs w:val="20"/>
                <w:color w:val="auto"/>
              </w:rPr>
            </w:pPr>
            <w:r>
              <w:rPr>
                <w:rFonts w:ascii="Arial" w:cs="Arial" w:eastAsia="Arial" w:hAnsi="Arial"/>
                <w:sz w:val="18"/>
                <w:szCs w:val="18"/>
                <w:color w:val="auto"/>
              </w:rPr>
              <w:t>Revaluation of contingent consideration liability</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1,982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expenses and other, net</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00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70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$ 5,167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3,457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Below is a reconciliation of segment total assets to consolidated total assets: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12"/>
          </w:tcPr>
          <w:p>
            <w:pPr>
              <w:jc w:val="right"/>
              <w:ind w:right="280"/>
              <w:spacing w:after="0" w:line="141" w:lineRule="exact"/>
              <w:rPr>
                <w:sz w:val="20"/>
                <w:szCs w:val="20"/>
                <w:color w:val="auto"/>
              </w:rPr>
            </w:pPr>
            <w:r>
              <w:rPr>
                <w:rFonts w:ascii="Arial" w:cs="Arial" w:eastAsia="Arial" w:hAnsi="Arial"/>
                <w:sz w:val="14"/>
                <w:szCs w:val="14"/>
                <w:b w:val="1"/>
                <w:bCs w:val="1"/>
                <w:color w:val="auto"/>
                <w:w w:val="95"/>
              </w:rPr>
              <w:t>(Amounts 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8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4"/>
              </w:rPr>
              <w:t>$ 57,492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55,792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51,204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108,696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2"/>
              </w:rPr>
              <w:t>102,046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w w:val="97"/>
              </w:rPr>
              <w:t>Below is geographic information related to our revenues from external customers: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11"/>
          </w:tcPr>
          <w:p>
            <w:pPr>
              <w:jc w:val="center"/>
              <w:ind w:right="24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10"/>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6"/>
          </w:tcPr>
          <w:p>
            <w:pPr>
              <w:jc w:val="center"/>
              <w:ind w:left="278"/>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105"/>
              <w:spacing w:after="0" w:line="154"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4"/>
          </w:tcPr>
          <w:p>
            <w:pPr>
              <w:jc w:val="right"/>
              <w:ind w:right="11"/>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98"/>
              <w:spacing w:after="0" w:line="154" w:lineRule="exact"/>
              <w:rPr>
                <w:sz w:val="20"/>
                <w:szCs w:val="20"/>
                <w:color w:val="auto"/>
              </w:rPr>
            </w:pPr>
            <w:r>
              <w:rPr>
                <w:rFonts w:ascii="Arial" w:cs="Arial" w:eastAsia="Arial" w:hAnsi="Arial"/>
                <w:sz w:val="14"/>
                <w:szCs w:val="14"/>
                <w:b w:val="1"/>
                <w:bCs w:val="1"/>
                <w:color w:val="auto"/>
                <w:w w:val="96"/>
              </w:rPr>
              <w:t>2021</w:t>
            </w: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35"/>
              <w:spacing w:after="0" w:line="154"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9"/>
          </w:tcPr>
          <w:p>
            <w:pPr>
              <w:jc w:val="center"/>
              <w:ind w:right="20"/>
              <w:spacing w:after="0" w:line="141" w:lineRule="exact"/>
              <w:rPr>
                <w:sz w:val="20"/>
                <w:szCs w:val="20"/>
                <w:color w:val="auto"/>
              </w:rPr>
            </w:pPr>
            <w:r>
              <w:rPr>
                <w:rFonts w:ascii="Arial" w:cs="Arial" w:eastAsia="Arial" w:hAnsi="Arial"/>
                <w:sz w:val="14"/>
                <w:szCs w:val="14"/>
                <w:b w:val="1"/>
                <w:bCs w:val="1"/>
                <w:color w:val="auto"/>
                <w:w w:val="89"/>
              </w:rPr>
              <w:t>(Amounts in thousands)</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9"/>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(Amounts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$ 51,532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$ 46,777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99,474</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96,127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$ 53,658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$ 47,583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$ 103,433</w:t>
            </w:r>
          </w:p>
        </w:tc>
        <w:tc>
          <w:tcPr>
            <w:tcW w:w="1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98,008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00" w:right="6980" w:hanging="426"/>
        <w:spacing w:after="0" w:line="480" w:lineRule="auto"/>
        <w:tabs>
          <w:tab w:leader="none" w:pos="592"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Recently Issued Accounting Standards </w:t>
      </w:r>
      <w:r>
        <w:rPr>
          <w:rFonts w:ascii="Arial" w:cs="Arial" w:eastAsia="Arial" w:hAnsi="Arial"/>
          <w:sz w:val="14"/>
          <w:szCs w:val="14"/>
          <w:b w:val="1"/>
          <w:bCs w:val="1"/>
          <w:i w:val="1"/>
          <w:iCs w:val="1"/>
          <w:color w:val="auto"/>
        </w:rPr>
        <w:t>Recently Adopted Accounting Pronouncements</w:t>
      </w:r>
    </w:p>
    <w:p>
      <w:pPr>
        <w:spacing w:after="0" w:line="1" w:lineRule="exact"/>
        <w:rPr>
          <w:sz w:val="20"/>
          <w:szCs w:val="20"/>
          <w:color w:val="auto"/>
        </w:rPr>
      </w:pPr>
    </w:p>
    <w:p>
      <w:pPr>
        <w:ind w:left="180" w:right="20" w:firstLine="436"/>
        <w:spacing w:after="0" w:line="255" w:lineRule="auto"/>
        <w:rPr>
          <w:sz w:val="20"/>
          <w:szCs w:val="20"/>
          <w:color w:val="auto"/>
        </w:rPr>
      </w:pPr>
      <w:r>
        <w:rPr>
          <w:rFonts w:ascii="Arial" w:cs="Arial" w:eastAsia="Arial" w:hAnsi="Arial"/>
          <w:sz w:val="18"/>
          <w:szCs w:val="18"/>
          <w:color w:val="auto"/>
        </w:rPr>
        <w:t>In December 2019, the FASB issued ASU 2019-12, “Income Taxes (Topic 740)”. The amendments in this ASU simplify the accounting for income taxes by removing certain exceptions to the general principles in Topic 740 and by clarifying and amending other areas of Topic 740. The amendments in this ASU are effective for annual and interim periods beginning after December 15, 2020. We adopted this ASU on January 1, 2021 with no material impact on our consolidated financial statements.</w:t>
      </w:r>
    </w:p>
    <w:p>
      <w:pPr>
        <w:spacing w:after="0" w:line="189" w:lineRule="exact"/>
        <w:rPr>
          <w:sz w:val="20"/>
          <w:szCs w:val="20"/>
          <w:color w:val="auto"/>
        </w:rPr>
      </w:pPr>
    </w:p>
    <w:p>
      <w:pPr>
        <w:ind w:left="180" w:firstLine="436"/>
        <w:spacing w:after="0" w:line="292" w:lineRule="auto"/>
        <w:rPr>
          <w:sz w:val="20"/>
          <w:szCs w:val="20"/>
          <w:color w:val="auto"/>
        </w:rPr>
      </w:pPr>
      <w:r>
        <w:rPr>
          <w:rFonts w:ascii="Arial" w:cs="Arial" w:eastAsia="Arial" w:hAnsi="Arial"/>
          <w:sz w:val="16"/>
          <w:szCs w:val="16"/>
          <w:color w:val="auto"/>
        </w:rPr>
        <w:t>In March 2020, the FASB issued ASU 2020-04, “Reference Rate Reform (Topic 848)”. The amendments in this ASU provide optional guidance to ease the burden in accounting for contract modifications associated with the cessation of interbank offered rates, particularly LIBOR, as a result of reference rate reform. The amendments in this ASU are effective for annual and interim periods from the beginning of an interim period that includes or is subsequent to March 12, 2020, or prospectively from a date within an interim period that includes or is subsequent to March 12, 2020 through December 31, 2022. We adopted this ASU on January 1, 2021 with no material impact on our consolidated financial statements.</w:t>
      </w:r>
    </w:p>
    <w:p>
      <w:pPr>
        <w:spacing w:after="0" w:line="163" w:lineRule="exact"/>
        <w:rPr>
          <w:sz w:val="20"/>
          <w:szCs w:val="20"/>
          <w:color w:val="auto"/>
        </w:rPr>
      </w:pPr>
    </w:p>
    <w:p>
      <w:pPr>
        <w:jc w:val="both"/>
        <w:ind w:left="180" w:right="120" w:firstLine="436"/>
        <w:spacing w:after="0" w:line="306" w:lineRule="auto"/>
        <w:rPr>
          <w:sz w:val="20"/>
          <w:szCs w:val="20"/>
          <w:color w:val="auto"/>
        </w:rPr>
      </w:pPr>
      <w:r>
        <w:rPr>
          <w:rFonts w:ascii="Arial" w:cs="Arial" w:eastAsia="Arial" w:hAnsi="Arial"/>
          <w:sz w:val="16"/>
          <w:szCs w:val="16"/>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294"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8" w:lineRule="exact"/>
        <w:rPr>
          <w:sz w:val="20"/>
          <w:szCs w:val="20"/>
          <w:color w:val="auto"/>
        </w:rPr>
      </w:pPr>
    </w:p>
    <w:p>
      <w:pPr>
        <w:ind w:left="180" w:right="140" w:firstLine="436"/>
        <w:spacing w:after="0" w:line="259" w:lineRule="auto"/>
        <w:rPr>
          <w:sz w:val="20"/>
          <w:szCs w:val="20"/>
          <w:color w:val="auto"/>
        </w:rPr>
      </w:pPr>
      <w:r>
        <w:rPr>
          <w:rFonts w:ascii="Arial" w:cs="Arial" w:eastAsia="Arial" w:hAnsi="Arial"/>
          <w:sz w:val="18"/>
          <w:szCs w:val="18"/>
          <w:color w:val="auto"/>
        </w:rPr>
        <w:t>You should read the following discussion in conjunction with our audited consolidated financial statements and accompanying notes for the year ended December 31, 2020, included in our Annual Report on Form 10-K, filed with the Securities and Exchange Commission (“SEC”) on March 16, 2021.</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82"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firstLine="436"/>
        <w:spacing w:after="0" w:line="265"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2020.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Website Access to SEC Reports:</w:t>
      </w:r>
    </w:p>
    <w:p>
      <w:pPr>
        <w:spacing w:after="0" w:line="114" w:lineRule="exact"/>
        <w:rPr>
          <w:sz w:val="20"/>
          <w:szCs w:val="20"/>
          <w:color w:val="auto"/>
        </w:rPr>
      </w:pPr>
    </w:p>
    <w:p>
      <w:pPr>
        <w:ind w:left="180" w:right="120" w:firstLine="436"/>
        <w:spacing w:after="0" w:line="259" w:lineRule="auto"/>
        <w:rPr>
          <w:sz w:val="20"/>
          <w:szCs w:val="20"/>
          <w:color w:val="auto"/>
        </w:rPr>
      </w:pPr>
      <w:r>
        <w:rPr>
          <w:rFonts w:ascii="Arial" w:cs="Arial" w:eastAsia="Arial" w:hAnsi="Arial"/>
          <w:sz w:val="18"/>
          <w:szCs w:val="18"/>
          <w:color w:val="auto"/>
        </w:rPr>
        <w:t xml:space="preserve">The Company’s website is </w:t>
      </w:r>
      <w:r>
        <w:rPr>
          <w:rFonts w:ascii="Arial" w:cs="Arial" w:eastAsia="Arial" w:hAnsi="Arial"/>
          <w:sz w:val="18"/>
          <w:szCs w:val="18"/>
          <w:u w:val="single" w:color="auto"/>
          <w:color w:val="auto"/>
        </w:rPr>
        <w:t>www.mastechdigital.com</w:t>
      </w:r>
      <w:r>
        <w:rPr>
          <w:rFonts w:ascii="Arial" w:cs="Arial" w:eastAsia="Arial" w:hAnsi="Arial"/>
          <w:sz w:val="18"/>
          <w:szCs w:val="18"/>
          <w:color w:val="auto"/>
        </w:rPr>
        <w:t>. The Company’s Annual Report on Form 10-K for the year ended December 31, 2020, current reports on Form 8-K and all other reports filed with the SEC, are available free of charge on the Investors page. The website is updated as soon as reasonably practical after such reports are filed electronically with the SEC.</w:t>
      </w:r>
    </w:p>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4" w:lineRule="exact"/>
        <w:rPr>
          <w:sz w:val="20"/>
          <w:szCs w:val="20"/>
          <w:color w:val="auto"/>
        </w:rPr>
      </w:pPr>
    </w:p>
    <w:p>
      <w:pPr>
        <w:ind w:left="180" w:right="40" w:firstLine="436"/>
        <w:spacing w:after="0" w:line="275"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2020 for a more detailed discussion of our significant accounting policies and critical accounting estimates. There were no material changes to these critical accounting policies during the six months ended June 30, 2021.</w:t>
      </w:r>
    </w:p>
    <w:p>
      <w:pPr>
        <w:spacing w:after="0" w:line="28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0" w:lineRule="exact"/>
        <w:rPr>
          <w:sz w:val="20"/>
          <w:szCs w:val="20"/>
          <w:color w:val="auto"/>
        </w:rPr>
      </w:pPr>
    </w:p>
    <w:p>
      <w:pPr>
        <w:ind w:left="180" w:right="60" w:firstLine="436"/>
        <w:spacing w:after="0" w:line="270" w:lineRule="auto"/>
        <w:rPr>
          <w:sz w:val="20"/>
          <w:szCs w:val="20"/>
          <w:color w:val="auto"/>
        </w:rPr>
      </w:pPr>
      <w:r>
        <w:rPr>
          <w:rFonts w:ascii="Arial" w:cs="Arial" w:eastAsia="Arial" w:hAnsi="Arial"/>
          <w:sz w:val="18"/>
          <w:szCs w:val="18"/>
          <w:color w:val="auto"/>
        </w:rPr>
        <w:t>Our portfolio of offerings includes data management and analytics services; other digital transformation services such as digital learning services; and IT staffing services.</w:t>
      </w:r>
    </w:p>
    <w:p>
      <w:pPr>
        <w:spacing w:after="0" w:line="175" w:lineRule="exact"/>
        <w:rPr>
          <w:sz w:val="20"/>
          <w:szCs w:val="20"/>
          <w:color w:val="auto"/>
        </w:rPr>
      </w:pPr>
    </w:p>
    <w:p>
      <w:pPr>
        <w:ind w:left="180" w:right="20" w:firstLine="436"/>
        <w:spacing w:after="0" w:line="288" w:lineRule="auto"/>
        <w:rPr>
          <w:sz w:val="20"/>
          <w:szCs w:val="20"/>
          <w:color w:val="auto"/>
        </w:rPr>
      </w:pPr>
      <w:r>
        <w:rPr>
          <w:rFonts w:ascii="Arial" w:cs="Arial" w:eastAsia="Arial" w:hAnsi="Arial"/>
          <w:sz w:val="16"/>
          <w:szCs w:val="16"/>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64" w:lineRule="exact"/>
        <w:rPr>
          <w:sz w:val="20"/>
          <w:szCs w:val="20"/>
          <w:color w:val="auto"/>
        </w:rPr>
      </w:pPr>
    </w:p>
    <w:p>
      <w:pPr>
        <w:ind w:left="180" w:right="160" w:firstLine="436"/>
        <w:spacing w:after="0" w:line="253" w:lineRule="auto"/>
        <w:rPr>
          <w:sz w:val="20"/>
          <w:szCs w:val="20"/>
          <w:color w:val="auto"/>
        </w:rPr>
      </w:pPr>
      <w:r>
        <w:rPr>
          <w:rFonts w:ascii="Arial" w:cs="Arial" w:eastAsia="Arial" w:hAnsi="Arial"/>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82"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Data and Analytics:</w:t>
      </w:r>
    </w:p>
    <w:p>
      <w:pPr>
        <w:spacing w:after="0" w:line="114" w:lineRule="exact"/>
        <w:rPr>
          <w:sz w:val="20"/>
          <w:szCs w:val="20"/>
          <w:color w:val="auto"/>
        </w:rPr>
      </w:pPr>
    </w:p>
    <w:p>
      <w:pPr>
        <w:ind w:left="180" w:right="20" w:firstLine="436"/>
        <w:spacing w:after="0" w:line="285" w:lineRule="auto"/>
        <w:rPr>
          <w:sz w:val="20"/>
          <w:szCs w:val="20"/>
          <w:color w:val="auto"/>
        </w:rPr>
      </w:pPr>
      <w:r>
        <w:rPr>
          <w:rFonts w:ascii="Arial" w:cs="Arial" w:eastAsia="Arial" w:hAnsi="Arial"/>
          <w:sz w:val="16"/>
          <w:szCs w:val="16"/>
          <w:color w:val="auto"/>
        </w:rPr>
        <w:t>We provide information regarding our new bookings in our Data and Analytics Services segment, which represents the estimated value of client engagements, including those acquired through acquisitions, as well as renewals, extensions and changes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Economic Trends and Outlook:</w:t>
      </w:r>
    </w:p>
    <w:p>
      <w:pPr>
        <w:spacing w:after="0" w:line="114" w:lineRule="exact"/>
        <w:rPr>
          <w:sz w:val="20"/>
          <w:szCs w:val="20"/>
          <w:color w:val="auto"/>
        </w:rPr>
      </w:pPr>
    </w:p>
    <w:p>
      <w:pPr>
        <w:ind w:left="180" w:right="20" w:firstLine="436"/>
        <w:spacing w:after="0" w:line="284" w:lineRule="auto"/>
        <w:rPr>
          <w:sz w:val="20"/>
          <w:szCs w:val="20"/>
          <w:color w:val="auto"/>
        </w:rPr>
      </w:pPr>
      <w:r>
        <w:rPr>
          <w:rFonts w:ascii="Arial" w:cs="Arial" w:eastAsia="Arial" w:hAnsi="Arial"/>
          <w:sz w:val="16"/>
          <w:szCs w:val="16"/>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As the economy slowed in 2007 and recessionary conditions emerged in 2008 and 2009, we experienced less demand for our IT staffing services. With economic expansion in 2010 through 2019, activity levels improved. However, as the recovery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the economic growth would quickly turn into recessionary conditions, which had a material impact on activity levels in both of our business segments. We are encouraged by the global roll-out of vaccination programs and signs of economic expansion in 2021. While there is still uncertainty in the global markets relating to the pandemic and its impact on economic conditions, we are hopeful that economic conditions will improve throughout the year as the impact of the pandemic subsides in many key markets.</w:t>
      </w:r>
    </w:p>
    <w:p>
      <w:pPr>
        <w:spacing w:after="0" w:line="170" w:lineRule="exact"/>
        <w:rPr>
          <w:sz w:val="20"/>
          <w:szCs w:val="20"/>
          <w:color w:val="auto"/>
        </w:rPr>
      </w:pPr>
    </w:p>
    <w:p>
      <w:pPr>
        <w:ind w:left="180" w:right="100" w:firstLine="436"/>
        <w:spacing w:after="0" w:line="253" w:lineRule="auto"/>
        <w:rPr>
          <w:sz w:val="20"/>
          <w:szCs w:val="20"/>
          <w:color w:val="auto"/>
        </w:rPr>
      </w:pPr>
      <w:r>
        <w:rPr>
          <w:rFonts w:ascii="Arial" w:cs="Arial" w:eastAsia="Arial" w:hAnsi="Arial"/>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2020).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91" w:lineRule="exact"/>
        <w:rPr>
          <w:sz w:val="20"/>
          <w:szCs w:val="20"/>
          <w:color w:val="auto"/>
        </w:rPr>
      </w:pPr>
    </w:p>
    <w:p>
      <w:pPr>
        <w:ind w:left="180" w:right="40" w:firstLine="436"/>
        <w:spacing w:after="0" w:line="259" w:lineRule="auto"/>
        <w:rPr>
          <w:sz w:val="20"/>
          <w:szCs w:val="20"/>
          <w:color w:val="auto"/>
        </w:rPr>
      </w:pPr>
      <w:r>
        <w:rPr>
          <w:rFonts w:ascii="Arial" w:cs="Arial" w:eastAsia="Arial" w:hAnsi="Arial"/>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MSP’s to manage their contractor spending. Both of these dynamics may pressure our IT staffing gross margins in the future.</w:t>
      </w:r>
    </w:p>
    <w:p>
      <w:pPr>
        <w:spacing w:after="0" w:line="185" w:lineRule="exact"/>
        <w:rPr>
          <w:sz w:val="20"/>
          <w:szCs w:val="20"/>
          <w:color w:val="auto"/>
        </w:rPr>
      </w:pPr>
    </w:p>
    <w:p>
      <w:pPr>
        <w:ind w:left="180" w:right="60" w:firstLine="436"/>
        <w:spacing w:after="0" w:line="270" w:lineRule="auto"/>
        <w:rPr>
          <w:sz w:val="20"/>
          <w:szCs w:val="20"/>
          <w:color w:val="auto"/>
        </w:rPr>
      </w:pPr>
      <w:r>
        <w:rPr>
          <w:rFonts w:ascii="Arial" w:cs="Arial" w:eastAsia="Arial" w:hAnsi="Arial"/>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w:t>
      </w:r>
    </w:p>
    <w:p>
      <w:pPr>
        <w:spacing w:after="0" w:line="175" w:lineRule="exact"/>
        <w:rPr>
          <w:sz w:val="20"/>
          <w:szCs w:val="20"/>
          <w:color w:val="auto"/>
        </w:rPr>
      </w:pPr>
    </w:p>
    <w:p>
      <w:pPr>
        <w:ind w:left="180" w:right="200" w:firstLine="436"/>
        <w:spacing w:after="0" w:line="275" w:lineRule="auto"/>
        <w:rPr>
          <w:sz w:val="20"/>
          <w:szCs w:val="20"/>
          <w:color w:val="auto"/>
        </w:rPr>
      </w:pPr>
      <w:r>
        <w:rPr>
          <w:rFonts w:ascii="Arial" w:cs="Arial" w:eastAsia="Arial" w:hAnsi="Arial"/>
          <w:sz w:val="17"/>
          <w:szCs w:val="17"/>
          <w:color w:val="auto"/>
        </w:rPr>
        <w:t>Within our Data and Analytics Services segment many customers are satisfying their D&amp;A needs using a holistic approach. This often results in the customer using one vendor partner rather than with multiple vendors. We have responded to this trend by establishing a service offering called “Center of Excellence” which bundles a customer’s total requirements under a multi-year contract. This concept allows us to better understand the customer’s longer-term strategy with respect to D&amp;A and effectively address such needs.</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Results of Operations for the Three Months Ended June 30, 2021 as Compared to the Three Months Ended June 30, 2020:</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Revenues:</w:t>
      </w:r>
    </w:p>
    <w:p>
      <w:pPr>
        <w:spacing w:after="0" w:line="114" w:lineRule="exact"/>
        <w:rPr>
          <w:sz w:val="20"/>
          <w:szCs w:val="20"/>
          <w:color w:val="auto"/>
        </w:rPr>
      </w:pPr>
    </w:p>
    <w:p>
      <w:pPr>
        <w:ind w:left="180" w:firstLine="436"/>
        <w:spacing w:after="0" w:line="270" w:lineRule="auto"/>
        <w:rPr>
          <w:sz w:val="20"/>
          <w:szCs w:val="20"/>
          <w:color w:val="auto"/>
        </w:rPr>
      </w:pPr>
      <w:r>
        <w:rPr>
          <w:rFonts w:ascii="Arial" w:cs="Arial" w:eastAsia="Arial" w:hAnsi="Arial"/>
          <w:sz w:val="17"/>
          <w:szCs w:val="17"/>
          <w:color w:val="auto"/>
        </w:rPr>
        <w:t>Revenues for the three months ended June 30, 2020 totaled $53.7 million compared to $47.6 million for the corresponding three month period in 2020. This 13% year-over-year revenue increase reflected a 9.6% increase in our IT staffing services segment and a 32% increase in our data and analytics services segment, of which approximately 4% was organic growth. For the three months ended June 30, 2021, the Company had one client that had revenues in excess of 10% of total revenues (CGI = 14.8%) For the three months ended June 30, 2020, the Company had the same one client with revenues in excess of 10% of total revenues (CGI = 15.1%). The Company’s top ten clients represented approximately 48% and 49% of total revenues for the three months ended June 30, 2021 and 2020, respectively.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82"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Below is a tabular presentation of revenues by reportable segment for the three months ended June 30, 2021 and 2020, respectively:</w:t>
      </w:r>
    </w:p>
    <w:p>
      <w:pPr>
        <w:spacing w:after="0" w:line="23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(Amounts in millions)</w:t>
            </w:r>
          </w:p>
        </w:tc>
        <w:tc>
          <w:tcPr>
            <w:tcW w:w="2660" w:type="dxa"/>
            <w:vAlign w:val="bottom"/>
            <w:gridSpan w:val="3"/>
          </w:tcPr>
          <w:p>
            <w:pPr>
              <w:ind w:left="1360"/>
              <w:spacing w:after="0"/>
              <w:rPr>
                <w:sz w:val="20"/>
                <w:szCs w:val="20"/>
                <w:color w:val="auto"/>
              </w:rPr>
            </w:pPr>
            <w:r>
              <w:rPr>
                <w:rFonts w:ascii="Arial" w:cs="Arial" w:eastAsia="Arial" w:hAnsi="Arial"/>
                <w:sz w:val="14"/>
                <w:szCs w:val="14"/>
                <w:b w:val="1"/>
                <w:bCs w:val="1"/>
                <w:color w:val="auto"/>
                <w:w w:val="92"/>
              </w:rPr>
              <w:t>Three Months Ended</w:t>
            </w:r>
          </w:p>
        </w:tc>
        <w:tc>
          <w:tcPr>
            <w:tcW w:w="2280" w:type="dxa"/>
            <w:vAlign w:val="bottom"/>
            <w:gridSpan w:val="4"/>
          </w:tcPr>
          <w:p>
            <w:pPr>
              <w:ind w:left="9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3"/>
        </w:trPr>
        <w:tc>
          <w:tcPr>
            <w:tcW w:w="33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155"/>
              <w:spacing w:after="0" w:line="123" w:lineRule="exact"/>
              <w:rPr>
                <w:sz w:val="20"/>
                <w:szCs w:val="20"/>
                <w:color w:val="auto"/>
              </w:rPr>
            </w:pPr>
            <w:r>
              <w:rPr>
                <w:rFonts w:ascii="Arial" w:cs="Arial" w:eastAsia="Arial" w:hAnsi="Arial"/>
                <w:sz w:val="14"/>
                <w:szCs w:val="14"/>
                <w:b w:val="1"/>
                <w:bCs w:val="1"/>
                <w:color w:val="auto"/>
                <w:w w:val="96"/>
              </w:rPr>
              <w:t>June 30, 2021</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80"/>
              <w:spacing w:after="0" w:line="123" w:lineRule="exact"/>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0"/>
        </w:trPr>
        <w:tc>
          <w:tcPr>
            <w:tcW w:w="19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Data and Analytics Services</w:t>
            </w: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9.0</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firstLine="436"/>
        <w:spacing w:after="0" w:line="275" w:lineRule="auto"/>
        <w:rPr>
          <w:sz w:val="20"/>
          <w:szCs w:val="20"/>
          <w:color w:val="auto"/>
        </w:rPr>
      </w:pPr>
      <w:r>
        <w:rPr>
          <w:rFonts w:ascii="Arial" w:cs="Arial" w:eastAsia="Arial" w:hAnsi="Arial"/>
          <w:sz w:val="17"/>
          <w:szCs w:val="17"/>
          <w:color w:val="auto"/>
        </w:rPr>
        <w:t>Revenues from our Data and Analytics Services segment totaled $9.0 million in the second quarter ended June 30, 2021, compared to $6.8 million in the corresponding period last year. The increase in revenues reflected $1.9 million related to our AmberLeaf acquisition and $0.3 million in organic growth. Project delays have impacted organic growth opportunities; however, we are starting to see positive signs in this area. New bookings were strong for the second consecutive quarter with an aggregate value of approximately $15 million.</w:t>
      </w:r>
    </w:p>
    <w:p>
      <w:pPr>
        <w:spacing w:after="0" w:line="173" w:lineRule="exact"/>
        <w:rPr>
          <w:sz w:val="20"/>
          <w:szCs w:val="20"/>
          <w:color w:val="auto"/>
        </w:rPr>
      </w:pPr>
    </w:p>
    <w:p>
      <w:pPr>
        <w:ind w:left="180" w:right="60" w:firstLine="436"/>
        <w:spacing w:after="0" w:line="286" w:lineRule="auto"/>
        <w:rPr>
          <w:sz w:val="20"/>
          <w:szCs w:val="20"/>
          <w:color w:val="auto"/>
        </w:rPr>
      </w:pPr>
      <w:r>
        <w:rPr>
          <w:rFonts w:ascii="Arial" w:cs="Arial" w:eastAsia="Arial" w:hAnsi="Arial"/>
          <w:sz w:val="16"/>
          <w:szCs w:val="16"/>
          <w:color w:val="auto"/>
        </w:rPr>
        <w:t>Revenues from our IT Staffing Services segment totaled $44.7 million in the three months ended June 30, 2021 compared to $40.8 million during the corresponding 2020 period. This 10% increase reflected a higher level of billable consultants, partially offset by a lower average bill rate in the second quarter of 2021 when compared to the corresponding 2020 period. Billable consultant headcount at June 30, 2021 totaled 1,251-consultants compared to 1,035-consultants one-year earlier. The increase in billable consultants of 216-consultants over the last 12-month period (a 21% increase) reflects strong activity levels, particularly in the first half of 2021. Our average bill rate decreased during the second quarter of 2021 to $74.65 per hour compared to $76.91 per hour in the corresponding 2020 quarter. The decline in average bill rate was due to lower rates on new assignments during the first half of 2021 and was reflective of the types of skill-sets that we deployed. Permanent placement / fee revenues were approximately $0.2 million during the 2021 quarter, which were in-line with the corresponding 2020 quarter.</w:t>
      </w:r>
    </w:p>
    <w:p>
      <w:pPr>
        <w:spacing w:after="0" w:line="27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Gross Margins:</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Gross profits in the second quarter of 2021 totaled $14.3 million and exceeded the second quarter of 2020 gross profits by approximately</w:t>
      </w:r>
    </w:p>
    <w:p>
      <w:pPr>
        <w:spacing w:after="0" w:line="20" w:lineRule="exact"/>
        <w:rPr>
          <w:sz w:val="20"/>
          <w:szCs w:val="20"/>
          <w:color w:val="auto"/>
        </w:rPr>
      </w:pPr>
    </w:p>
    <w:p>
      <w:pPr>
        <w:ind w:left="180" w:right="260"/>
        <w:spacing w:after="0" w:line="284" w:lineRule="auto"/>
        <w:rPr>
          <w:sz w:val="20"/>
          <w:szCs w:val="20"/>
          <w:color w:val="auto"/>
        </w:rPr>
      </w:pPr>
      <w:r>
        <w:rPr>
          <w:rFonts w:ascii="Arial" w:cs="Arial" w:eastAsia="Arial" w:hAnsi="Arial"/>
          <w:sz w:val="17"/>
          <w:szCs w:val="17"/>
          <w:color w:val="auto"/>
        </w:rPr>
        <w:t>$1.7 million. Gross profit as a percentage of revenue was 26.7% for the three month period ended June 30, 2021 compared to 26.6% during the same period of 2020. This slight improvement in gross margins reflected higher margins in our IT Staffing Services segment.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Below is a tabular presentation of gross margin by reporting segment for the three months ended June 30, 2021 and 2020, respectively:</w:t>
      </w:r>
    </w:p>
    <w:p>
      <w:pPr>
        <w:spacing w:after="0" w:line="23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Margin</w:t>
            </w:r>
          </w:p>
        </w:tc>
        <w:tc>
          <w:tcPr>
            <w:tcW w:w="312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93"/>
              </w:rPr>
              <w:t>Three Months Ended</w:t>
            </w:r>
          </w:p>
        </w:tc>
        <w:tc>
          <w:tcPr>
            <w:tcW w:w="1960" w:type="dxa"/>
            <w:vAlign w:val="bottom"/>
            <w:gridSpan w:val="3"/>
          </w:tcPr>
          <w:p>
            <w:pPr>
              <w:jc w:val="center"/>
              <w:ind w:lef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3"/>
        </w:trPr>
        <w:tc>
          <w:tcPr>
            <w:tcW w:w="32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1900" w:type="dxa"/>
            <w:vAlign w:val="bottom"/>
            <w:gridSpan w:val="2"/>
          </w:tcPr>
          <w:p>
            <w:pPr>
              <w:jc w:val="center"/>
              <w:ind w:right="600"/>
              <w:spacing w:after="0" w:line="123" w:lineRule="exact"/>
              <w:rPr>
                <w:sz w:val="20"/>
                <w:szCs w:val="20"/>
                <w:color w:val="auto"/>
              </w:rPr>
            </w:pPr>
            <w:r>
              <w:rPr>
                <w:rFonts w:ascii="Arial" w:cs="Arial" w:eastAsia="Arial" w:hAnsi="Arial"/>
                <w:sz w:val="14"/>
                <w:szCs w:val="14"/>
                <w:b w:val="1"/>
                <w:bCs w:val="1"/>
                <w:color w:val="auto"/>
                <w:w w:val="90"/>
              </w:rPr>
              <w:t>June 30, 2021</w:t>
            </w:r>
          </w:p>
        </w:tc>
        <w:tc>
          <w:tcPr>
            <w:tcW w:w="460" w:type="dxa"/>
            <w:vAlign w:val="bottom"/>
          </w:tcPr>
          <w:p>
            <w:pPr>
              <w:spacing w:after="0"/>
              <w:rPr>
                <w:sz w:val="12"/>
                <w:szCs w:val="12"/>
                <w:color w:val="auto"/>
              </w:rPr>
            </w:pPr>
          </w:p>
        </w:tc>
        <w:tc>
          <w:tcPr>
            <w:tcW w:w="150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2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Data and Analytics Services</w:t>
            </w:r>
          </w:p>
        </w:tc>
        <w:tc>
          <w:tcPr>
            <w:tcW w:w="1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ind w:left="980"/>
              <w:spacing w:after="0" w:line="194" w:lineRule="exact"/>
              <w:rPr>
                <w:sz w:val="20"/>
                <w:szCs w:val="20"/>
                <w:color w:val="auto"/>
              </w:rPr>
            </w:pPr>
            <w:r>
              <w:rPr>
                <w:rFonts w:ascii="Arial" w:cs="Arial" w:eastAsia="Arial" w:hAnsi="Arial"/>
                <w:sz w:val="18"/>
                <w:szCs w:val="18"/>
                <w:color w:val="auto"/>
              </w:rPr>
              <w:t>46.7%</w:t>
            </w:r>
          </w:p>
        </w:tc>
        <w:tc>
          <w:tcPr>
            <w:tcW w:w="4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980"/>
              <w:spacing w:after="0" w:line="194" w:lineRule="exact"/>
              <w:rPr>
                <w:sz w:val="20"/>
                <w:szCs w:val="20"/>
                <w:color w:val="auto"/>
              </w:rPr>
            </w:pPr>
            <w:r>
              <w:rPr>
                <w:rFonts w:ascii="Arial" w:cs="Arial" w:eastAsia="Arial" w:hAnsi="Arial"/>
                <w:sz w:val="18"/>
                <w:szCs w:val="18"/>
                <w:color w:val="auto"/>
                <w:w w:val="97"/>
              </w:rPr>
              <w:t>52.2%</w:t>
            </w:r>
          </w:p>
        </w:tc>
        <w:tc>
          <w:tcPr>
            <w:tcW w:w="0" w:type="dxa"/>
            <w:vAlign w:val="bottom"/>
          </w:tcPr>
          <w:p>
            <w:pPr>
              <w:spacing w:after="0"/>
              <w:rPr>
                <w:sz w:val="1"/>
                <w:szCs w:val="1"/>
                <w:color w:val="auto"/>
              </w:rPr>
            </w:pPr>
          </w:p>
        </w:tc>
      </w:tr>
      <w:tr>
        <w:trPr>
          <w:trHeight w:val="220"/>
        </w:trPr>
        <w:tc>
          <w:tcPr>
            <w:tcW w:w="322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220" w:type="dxa"/>
            <w:vAlign w:val="bottom"/>
          </w:tcPr>
          <w:p>
            <w:pPr>
              <w:spacing w:after="0"/>
              <w:rPr>
                <w:sz w:val="19"/>
                <w:szCs w:val="19"/>
                <w:color w:val="auto"/>
              </w:rPr>
            </w:pP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5"/>
              </w:rPr>
              <w:t>22.7</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5"/>
              </w:rPr>
              <w:t>22.4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margin</w:t>
            </w:r>
          </w:p>
        </w:tc>
        <w:tc>
          <w:tcPr>
            <w:tcW w:w="312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26.7%</w:t>
            </w:r>
          </w:p>
        </w:tc>
        <w:tc>
          <w:tcPr>
            <w:tcW w:w="196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w w:val="97"/>
              </w:rPr>
              <w:t>26.6%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80" w:right="300" w:firstLine="436"/>
        <w:spacing w:after="0" w:line="259" w:lineRule="auto"/>
        <w:rPr>
          <w:sz w:val="20"/>
          <w:szCs w:val="20"/>
          <w:color w:val="auto"/>
        </w:rPr>
      </w:pPr>
      <w:r>
        <w:rPr>
          <w:rFonts w:ascii="Arial" w:cs="Arial" w:eastAsia="Arial" w:hAnsi="Arial"/>
          <w:sz w:val="18"/>
          <w:szCs w:val="18"/>
          <w:color w:val="auto"/>
        </w:rPr>
        <w:t>Gross margins from our Data and Analytics Services segment were 46.7% of revenues during the second quarter of 2021, which represented a decline of 550-basis points from a year ago. The margin decline reflects a lower margin profile in our acquired AmberLeaf business. Our core D&amp;A business continued to have gross margins in the 50% range in the second quarter of 2021.</w:t>
      </w:r>
    </w:p>
    <w:p>
      <w:pPr>
        <w:spacing w:after="0" w:line="185" w:lineRule="exact"/>
        <w:rPr>
          <w:sz w:val="20"/>
          <w:szCs w:val="20"/>
          <w:color w:val="auto"/>
        </w:rPr>
      </w:pPr>
    </w:p>
    <w:p>
      <w:pPr>
        <w:ind w:left="180" w:right="320" w:firstLine="436"/>
        <w:spacing w:after="0" w:line="334" w:lineRule="auto"/>
        <w:rPr>
          <w:sz w:val="20"/>
          <w:szCs w:val="20"/>
          <w:color w:val="auto"/>
        </w:rPr>
      </w:pPr>
      <w:r>
        <w:rPr>
          <w:rFonts w:ascii="Arial" w:cs="Arial" w:eastAsia="Arial" w:hAnsi="Arial"/>
          <w:sz w:val="16"/>
          <w:szCs w:val="16"/>
          <w:color w:val="auto"/>
        </w:rPr>
        <w:t>Gross margins from our IT Staffing Services segment were 22.7% in the second quarter of 2021 compared to 22.4% during the corresponding quarter of 2020. This 30-basis point expansion was due to better gross margins on new assignments secured during the last several quarters.</w:t>
      </w:r>
    </w:p>
    <w:p>
      <w:pPr>
        <w:spacing w:after="0" w:line="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82"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14" w:lineRule="exact"/>
        <w:rPr>
          <w:sz w:val="20"/>
          <w:szCs w:val="20"/>
          <w:color w:val="auto"/>
        </w:rPr>
      </w:pPr>
    </w:p>
    <w:p>
      <w:pPr>
        <w:ind w:left="180" w:firstLine="436"/>
        <w:spacing w:after="0" w:line="300" w:lineRule="auto"/>
        <w:rPr>
          <w:sz w:val="20"/>
          <w:szCs w:val="20"/>
          <w:color w:val="auto"/>
        </w:rPr>
      </w:pPr>
      <w:r>
        <w:rPr>
          <w:rFonts w:ascii="Arial" w:cs="Arial" w:eastAsia="Arial" w:hAnsi="Arial"/>
          <w:sz w:val="17"/>
          <w:szCs w:val="17"/>
          <w:color w:val="auto"/>
        </w:rPr>
        <w:t>Below is a tabular presentation of operating expenses by sales, operations, amortization of acquired intangible assets, the revaluation of contingent consideration and general and administrative categories for the three months ended June 30, 2021 and 2020, respectively:</w:t>
      </w:r>
    </w:p>
    <w:p>
      <w:pPr>
        <w:spacing w:after="0" w:line="15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840" w:type="dxa"/>
            <w:vAlign w:val="bottom"/>
          </w:tcPr>
          <w:p>
            <w:pPr>
              <w:spacing w:after="0"/>
              <w:rPr>
                <w:sz w:val="14"/>
                <w:szCs w:val="14"/>
                <w:color w:val="auto"/>
              </w:rPr>
            </w:pPr>
          </w:p>
        </w:tc>
        <w:tc>
          <w:tcPr>
            <w:tcW w:w="17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174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0"/>
        </w:trPr>
        <w:tc>
          <w:tcPr>
            <w:tcW w:w="398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June 30, 2021</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2800" w:type="dxa"/>
            <w:vAlign w:val="bottom"/>
            <w:tcBorders>
              <w:top w:val="single" w:sz="8" w:color="CCEEFF"/>
              <w:bottom w:val="single" w:sz="8" w:color="auto"/>
            </w:tcBorders>
            <w:gridSpan w:val="2"/>
            <w:shd w:val="clear" w:color="auto" w:fill="CCEEFF"/>
          </w:tcPr>
          <w:p>
            <w:pPr>
              <w:spacing w:after="0" w:line="154" w:lineRule="exact"/>
              <w:rPr>
                <w:sz w:val="20"/>
                <w:szCs w:val="20"/>
                <w:color w:val="auto"/>
              </w:rPr>
            </w:pPr>
            <w:r>
              <w:rPr>
                <w:rFonts w:ascii="Arial" w:cs="Arial" w:eastAsia="Arial" w:hAnsi="Arial"/>
                <w:sz w:val="17"/>
                <w:szCs w:val="17"/>
                <w:b w:val="1"/>
                <w:bCs w:val="1"/>
                <w:color w:val="auto"/>
                <w:w w:val="91"/>
              </w:rPr>
              <w:t>Data and Analytics Services Segment</w:t>
            </w: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Revaluation of Contingent Consideration</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General &amp; Administrative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25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0"/>
        </w:trPr>
        <w:tc>
          <w:tcPr>
            <w:tcW w:w="398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June 30, 2021</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IT Staffing Services Segment</w:t>
            </w:r>
          </w:p>
        </w:tc>
        <w:tc>
          <w:tcPr>
            <w:tcW w:w="8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Sales and Marketing</w:t>
            </w:r>
          </w:p>
        </w:tc>
        <w:tc>
          <w:tcPr>
            <w:tcW w:w="178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8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84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S,G&amp;A Expenses</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80" w:firstLine="436"/>
        <w:spacing w:after="0" w:line="292" w:lineRule="auto"/>
        <w:rPr>
          <w:sz w:val="20"/>
          <w:szCs w:val="20"/>
          <w:color w:val="auto"/>
        </w:rPr>
      </w:pPr>
      <w:r>
        <w:rPr>
          <w:rFonts w:ascii="Arial" w:cs="Arial" w:eastAsia="Arial" w:hAnsi="Arial"/>
          <w:sz w:val="16"/>
          <w:szCs w:val="16"/>
          <w:color w:val="auto"/>
        </w:rPr>
        <w:t>S,G&amp;A expenses for the three months ended June 30, 2021 totaled $9.0 million or 16.8% of total revenues, compared to $9.0 million or 19.0% of total revenues for the three months ended June 30, 2020. Excluding the revaluation of contingent consideration in the 2021 period and the amortization of acquired intangible assets in both periods, S,G,&amp;A expense as a percentage of total revenues would have been 19.0% and 17.6%, respectively. The lower S,G&amp;A expense as a percentage of total revenues in 2020 reflected austerity measures implemented due to the pandemic environment. Fluctuations within S,G,&amp;A expense components during the second quarter of 2021, compared to the second quarter of 2020, included the following:</w:t>
      </w:r>
    </w:p>
    <w:p>
      <w:pPr>
        <w:spacing w:after="0" w:line="70" w:lineRule="exact"/>
        <w:rPr>
          <w:sz w:val="20"/>
          <w:szCs w:val="20"/>
          <w:color w:val="auto"/>
        </w:rPr>
      </w:pPr>
    </w:p>
    <w:p>
      <w:pPr>
        <w:jc w:val="both"/>
        <w:ind w:left="1140" w:right="440" w:hanging="432"/>
        <w:spacing w:after="0" w:line="259"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expense increased by $0.4 million in the 2021 period compared to the corresponding 2020 period. Approximately $0.2 million reflected AmberLeaf sales expense and $0.2 million was due to austerity measures implemented in the 2020 period, which have been unwound in 2021.</w:t>
      </w:r>
    </w:p>
    <w:p>
      <w:pPr>
        <w:spacing w:after="0" w:line="91" w:lineRule="exact"/>
        <w:rPr>
          <w:rFonts w:ascii="Arial" w:cs="Arial" w:eastAsia="Arial" w:hAnsi="Arial"/>
          <w:sz w:val="18"/>
          <w:szCs w:val="18"/>
          <w:color w:val="auto"/>
        </w:rPr>
      </w:pPr>
    </w:p>
    <w:p>
      <w:pPr>
        <w:ind w:left="1140" w:right="100" w:hanging="432"/>
        <w:spacing w:after="0" w:line="255"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Operations expense increased $0.6 million in the 2021 period compared to the corresponding 2020 period. Approximately $0.4 million reflected investments made to the delivery organization of our Data and Analytics Services segment, including the impact of the AmberLeaf acquisition. Operations expense in our IT Staffing Services segment increased by $0.2 million and related to increases in staff and related variable expenses – both reflecting higher activity levels in 2021.</w:t>
      </w:r>
    </w:p>
    <w:p>
      <w:pPr>
        <w:spacing w:after="0" w:line="95" w:lineRule="exact"/>
        <w:rPr>
          <w:rFonts w:ascii="Arial" w:cs="Arial" w:eastAsia="Arial" w:hAnsi="Arial"/>
          <w:sz w:val="18"/>
          <w:szCs w:val="18"/>
          <w:color w:val="auto"/>
        </w:rPr>
      </w:pPr>
    </w:p>
    <w:p>
      <w:pPr>
        <w:ind w:left="1140" w:hanging="43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of acquired intangible assets was $0.1 million higher in the 2021 period due to the AmberLeaf acquisition.</w:t>
      </w:r>
    </w:p>
    <w:p>
      <w:pPr>
        <w:spacing w:after="0" w:line="126" w:lineRule="exact"/>
        <w:rPr>
          <w:rFonts w:ascii="Arial" w:cs="Arial" w:eastAsia="Arial" w:hAnsi="Arial"/>
          <w:sz w:val="18"/>
          <w:szCs w:val="18"/>
          <w:color w:val="auto"/>
        </w:rPr>
      </w:pPr>
    </w:p>
    <w:p>
      <w:pPr>
        <w:ind w:left="1140" w:right="240" w:hanging="432"/>
        <w:spacing w:after="0" w:line="27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Revaluation of contingent consideration totaled a credit of $2.0 million in the 2021 period and related to the AmberLeaf acquisition. No contingent consideration existed on the Company’s balance sheet in the corresponding 2020 period.</w:t>
      </w:r>
    </w:p>
    <w:p>
      <w:pPr>
        <w:spacing w:after="0" w:line="81" w:lineRule="exact"/>
        <w:rPr>
          <w:rFonts w:ascii="Arial" w:cs="Arial" w:eastAsia="Arial" w:hAnsi="Arial"/>
          <w:sz w:val="18"/>
          <w:szCs w:val="18"/>
          <w:color w:val="auto"/>
        </w:rPr>
      </w:pPr>
    </w:p>
    <w:p>
      <w:pPr>
        <w:ind w:left="1140" w:right="80" w:hanging="432"/>
        <w:spacing w:after="0" w:line="297"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and administrative expense increased by $0.9 million in the 2021 period compared to the corresponding 2020 period. General and administrative expense in our Data and Analytics Services segment increased by $0.6 million due to executive leadership staff increases and higher stock-based compensation expense. In our IT Staffing Services segment, higher stock-based compensation expense and additional administrative staff (from the austerity-impacted levels of 2020) were responsible for a $0.3 million increase from 2020.</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Income / (Expense) Components: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Income / (Expense) for the three months ended June 30, 2021 consisted of interest expense of ($159,000) and foreign exchange gains of</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$15,000. For the three months ended June 30, 2020, Other Income / (Expense) consisted of interest expense of ($198,000) and foreign exchange gains of</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$41,000. The lower level of interest expense was reflective of debt repayments in the 2020 and 2021 periods.</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82"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Income Tax Expense:</w:t>
      </w:r>
    </w:p>
    <w:p>
      <w:pPr>
        <w:spacing w:after="0" w:line="114" w:lineRule="exact"/>
        <w:rPr>
          <w:sz w:val="20"/>
          <w:szCs w:val="20"/>
          <w:color w:val="auto"/>
        </w:rPr>
      </w:pPr>
    </w:p>
    <w:p>
      <w:pPr>
        <w:jc w:val="both"/>
        <w:ind w:left="180" w:right="120" w:firstLine="436"/>
        <w:spacing w:after="0" w:line="306" w:lineRule="auto"/>
        <w:rPr>
          <w:sz w:val="20"/>
          <w:szCs w:val="20"/>
          <w:color w:val="auto"/>
        </w:rPr>
      </w:pPr>
      <w:r>
        <w:rPr>
          <w:rFonts w:ascii="Arial" w:cs="Arial" w:eastAsia="Arial" w:hAnsi="Arial"/>
          <w:sz w:val="16"/>
          <w:szCs w:val="16"/>
          <w:color w:val="auto"/>
        </w:rPr>
        <w:t>Income tax expense for the three months ended June 30, 2021 totaled $1.4 million, representing an effective tax rate on pre-tax income of 27.7% compared to $488,000 for the three months ended June 30, 2020, which represented a 14.1% effective tax rate on pre-tax income. The lower effective tax rate in the 2020 period largely reflected excess tax benefits related to the exercise of stock options and the vesting of restricted share units.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Results of Operations for the Six Months Ended June 30, 2021 as Compared to the Six Months Ended June 30, 2020:</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Revenues:</w:t>
      </w:r>
    </w:p>
    <w:p>
      <w:pPr>
        <w:spacing w:after="0" w:line="114" w:lineRule="exact"/>
        <w:rPr>
          <w:sz w:val="20"/>
          <w:szCs w:val="20"/>
          <w:color w:val="auto"/>
        </w:rPr>
      </w:pPr>
    </w:p>
    <w:p>
      <w:pPr>
        <w:ind w:left="180" w:firstLine="436"/>
        <w:spacing w:after="0" w:line="289" w:lineRule="auto"/>
        <w:rPr>
          <w:sz w:val="20"/>
          <w:szCs w:val="20"/>
          <w:color w:val="auto"/>
        </w:rPr>
      </w:pPr>
      <w:r>
        <w:rPr>
          <w:rFonts w:ascii="Arial" w:cs="Arial" w:eastAsia="Arial" w:hAnsi="Arial"/>
          <w:sz w:val="16"/>
          <w:szCs w:val="16"/>
          <w:color w:val="auto"/>
        </w:rPr>
        <w:t>Revenues for the six months ended June 30, 2021 totaled $103.4 million compared to $98.0 million for the corresponding six month period in 2020. This 5.5% year-over-year revenue increase reflected a 2.2% increase in our IT staffing services segment and a 25% increase in our data and analytics services segment, which represented flat organic growth when excluding the AmberLeaf acquisition. For the six months ended June 30, 2021, the Company had one client that had revenues in excess of 10% of total revenues (CGI = 14.9%). For the six months ended June 30, 2020, the Company had the same one client that had revenues in excess of 10% of total revenues (CGI = 13.9%). The Company’s top ten clients represented approximately 48% and 47% of total revenues for the six months ended June 30, 2021 and 2020, respectively.</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Below is a tabular presentation of revenues by reportable segment for the six months ended June 30, 2021 and 2020, respectively:</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(Amounts in millions)</w:t>
            </w:r>
          </w:p>
        </w:tc>
        <w:tc>
          <w:tcPr>
            <w:tcW w:w="2700" w:type="dxa"/>
            <w:vAlign w:val="bottom"/>
            <w:gridSpan w:val="3"/>
          </w:tcPr>
          <w:p>
            <w:pPr>
              <w:ind w:left="1560"/>
              <w:spacing w:after="0"/>
              <w:rPr>
                <w:sz w:val="20"/>
                <w:szCs w:val="20"/>
                <w:color w:val="auto"/>
              </w:rPr>
            </w:pPr>
            <w:r>
              <w:rPr>
                <w:rFonts w:ascii="Arial" w:cs="Arial" w:eastAsia="Arial" w:hAnsi="Arial"/>
                <w:sz w:val="14"/>
                <w:szCs w:val="14"/>
                <w:b w:val="1"/>
                <w:bCs w:val="1"/>
                <w:color w:val="auto"/>
                <w:w w:val="92"/>
              </w:rPr>
              <w:t>Six Months Ended</w:t>
            </w:r>
          </w:p>
        </w:tc>
        <w:tc>
          <w:tcPr>
            <w:tcW w:w="20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3"/>
        </w:trPr>
        <w:tc>
          <w:tcPr>
            <w:tcW w:w="356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75"/>
              <w:spacing w:after="0" w:line="123" w:lineRule="exact"/>
              <w:rPr>
                <w:sz w:val="20"/>
                <w:szCs w:val="20"/>
                <w:color w:val="auto"/>
              </w:rPr>
            </w:pPr>
            <w:r>
              <w:rPr>
                <w:rFonts w:ascii="Arial" w:cs="Arial" w:eastAsia="Arial" w:hAnsi="Arial"/>
                <w:sz w:val="14"/>
                <w:szCs w:val="14"/>
                <w:b w:val="1"/>
                <w:bCs w:val="1"/>
                <w:color w:val="auto"/>
                <w:w w:val="92"/>
              </w:rPr>
              <w:t>June 30, 2021</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0"/>
              <w:spacing w:after="0" w:line="123" w:lineRule="exact"/>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0"/>
        </w:trPr>
        <w:tc>
          <w:tcPr>
            <w:tcW w:w="194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Data and Analytics Services</w:t>
            </w: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17.7</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6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6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right="680" w:firstLine="436"/>
        <w:spacing w:after="0" w:line="275" w:lineRule="auto"/>
        <w:rPr>
          <w:sz w:val="20"/>
          <w:szCs w:val="20"/>
          <w:color w:val="auto"/>
        </w:rPr>
      </w:pPr>
      <w:r>
        <w:rPr>
          <w:rFonts w:ascii="Arial" w:cs="Arial" w:eastAsia="Arial" w:hAnsi="Arial"/>
          <w:sz w:val="17"/>
          <w:szCs w:val="17"/>
          <w:color w:val="auto"/>
        </w:rPr>
        <w:t>Revenues from our Data and Analytics Services segment totaled $17.7 million during the six months ended June 30, 2021, compared to $14.1 million in the corresponding six-month period last year. Excluding revenues from the AmberLeaf acquisition, organic revenues were flat compared to the six months of 2020. Project delays continued to impact 2021 revenues during the first half of the year. New bookings were approximately $30 million and 32% above new bookings for the six-month period of 2020.</w:t>
      </w:r>
    </w:p>
    <w:p>
      <w:pPr>
        <w:spacing w:after="0" w:line="173" w:lineRule="exact"/>
        <w:rPr>
          <w:sz w:val="20"/>
          <w:szCs w:val="20"/>
          <w:color w:val="auto"/>
        </w:rPr>
      </w:pPr>
    </w:p>
    <w:p>
      <w:pPr>
        <w:ind w:left="180" w:right="200" w:firstLine="436"/>
        <w:spacing w:after="0" w:line="271" w:lineRule="auto"/>
        <w:rPr>
          <w:sz w:val="20"/>
          <w:szCs w:val="20"/>
          <w:color w:val="auto"/>
        </w:rPr>
      </w:pPr>
      <w:r>
        <w:rPr>
          <w:rFonts w:ascii="Arial" w:cs="Arial" w:eastAsia="Arial" w:hAnsi="Arial"/>
          <w:sz w:val="17"/>
          <w:szCs w:val="17"/>
          <w:color w:val="auto"/>
        </w:rPr>
        <w:t>Revenues from our IT Staffing Services segment totaled $85.7 million in the six months ended June 30, 2021 compared to $83.9 million during the corresponding 2020 period. This 2% increase reflected an increased level of billable consultants, partially offset by a lower average bill rate in the first half of 2021, when compared to the corresponding 2020 period. Billable consultants increased by 188-consultants during the first six months of 2021 versus a decline of 132-consultants during the six months ended June 30, 2020. Permanent placement / fee revenues were approximately $0.4 million during the six months of 2021, which were in-line with the corresponding 2020 period.</w:t>
      </w:r>
    </w:p>
    <w:p>
      <w:pPr>
        <w:spacing w:after="0" w:line="28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Gross Margins:</w:t>
      </w:r>
    </w:p>
    <w:p>
      <w:pPr>
        <w:spacing w:after="0" w:line="114" w:lineRule="exact"/>
        <w:rPr>
          <w:sz w:val="20"/>
          <w:szCs w:val="20"/>
          <w:color w:val="auto"/>
        </w:rPr>
      </w:pPr>
    </w:p>
    <w:p>
      <w:pPr>
        <w:ind w:left="180" w:right="120" w:firstLine="436"/>
        <w:spacing w:after="0" w:line="281" w:lineRule="auto"/>
        <w:rPr>
          <w:sz w:val="20"/>
          <w:szCs w:val="20"/>
          <w:color w:val="auto"/>
        </w:rPr>
      </w:pPr>
      <w:r>
        <w:rPr>
          <w:rFonts w:ascii="Arial" w:cs="Arial" w:eastAsia="Arial" w:hAnsi="Arial"/>
          <w:sz w:val="17"/>
          <w:szCs w:val="17"/>
          <w:color w:val="auto"/>
        </w:rPr>
        <w:t>Gross profits in the six months ended June 30, 2021 totaled $27.1 million compared to $25.4 million in the corresponding period last year. Gross profit as a percentage of revenue was 26.2% for the six month period ended June 30, 2021 compared to 25.9% during the same period of 2020. This 30-basis point improvement largely reflected a favorable mix of revenues between our two operating segments.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Below is a tabular presentation of gross margin by reporting segment for the six months ended June 30, 2021 and 2020, respectively:</w:t>
      </w:r>
    </w:p>
    <w:p>
      <w:pPr>
        <w:spacing w:after="0" w:line="23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Margin</w:t>
            </w:r>
          </w:p>
        </w:tc>
        <w:tc>
          <w:tcPr>
            <w:tcW w:w="3480" w:type="dxa"/>
            <w:vAlign w:val="bottom"/>
            <w:gridSpan w:val="3"/>
          </w:tcPr>
          <w:p>
            <w:pPr>
              <w:jc w:val="center"/>
              <w:ind w:left="1117"/>
              <w:spacing w:after="0"/>
              <w:rPr>
                <w:sz w:val="20"/>
                <w:szCs w:val="20"/>
                <w:color w:val="auto"/>
              </w:rPr>
            </w:pPr>
            <w:r>
              <w:rPr>
                <w:rFonts w:ascii="Arial" w:cs="Arial" w:eastAsia="Arial" w:hAnsi="Arial"/>
                <w:sz w:val="14"/>
                <w:szCs w:val="14"/>
                <w:b w:val="1"/>
                <w:bCs w:val="1"/>
                <w:color w:val="auto"/>
                <w:w w:val="92"/>
              </w:rPr>
              <w:t>Six Months Ended</w:t>
            </w:r>
          </w:p>
        </w:tc>
        <w:tc>
          <w:tcPr>
            <w:tcW w:w="1780" w:type="dxa"/>
            <w:vAlign w:val="bottom"/>
            <w:gridSpan w:val="3"/>
          </w:tcPr>
          <w:p>
            <w:pPr>
              <w:jc w:val="center"/>
              <w:ind w:left="1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3"/>
        </w:trPr>
        <w:tc>
          <w:tcPr>
            <w:tcW w:w="304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gridSpan w:val="2"/>
          </w:tcPr>
          <w:p>
            <w:pPr>
              <w:jc w:val="center"/>
              <w:ind w:right="580"/>
              <w:spacing w:after="0" w:line="123" w:lineRule="exact"/>
              <w:rPr>
                <w:sz w:val="20"/>
                <w:szCs w:val="20"/>
                <w:color w:val="auto"/>
              </w:rPr>
            </w:pPr>
            <w:r>
              <w:rPr>
                <w:rFonts w:ascii="Arial" w:cs="Arial" w:eastAsia="Arial" w:hAnsi="Arial"/>
                <w:sz w:val="14"/>
                <w:szCs w:val="14"/>
                <w:b w:val="1"/>
                <w:bCs w:val="1"/>
                <w:color w:val="auto"/>
                <w:w w:val="92"/>
              </w:rPr>
              <w:t>June 30, 2021</w:t>
            </w: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4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Data and Analytics Services</w:t>
            </w:r>
          </w:p>
        </w:tc>
        <w:tc>
          <w:tcPr>
            <w:tcW w:w="17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820"/>
              <w:spacing w:after="0" w:line="194" w:lineRule="exact"/>
              <w:rPr>
                <w:sz w:val="20"/>
                <w:szCs w:val="20"/>
                <w:color w:val="auto"/>
              </w:rPr>
            </w:pPr>
            <w:r>
              <w:rPr>
                <w:rFonts w:ascii="Arial" w:cs="Arial" w:eastAsia="Arial" w:hAnsi="Arial"/>
                <w:sz w:val="18"/>
                <w:szCs w:val="18"/>
                <w:color w:val="auto"/>
              </w:rPr>
              <w:t>46.2%</w:t>
            </w:r>
          </w:p>
        </w:tc>
        <w:tc>
          <w:tcPr>
            <w:tcW w:w="4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820"/>
              <w:spacing w:after="0" w:line="194" w:lineRule="exact"/>
              <w:rPr>
                <w:sz w:val="20"/>
                <w:szCs w:val="20"/>
                <w:color w:val="auto"/>
              </w:rPr>
            </w:pPr>
            <w:r>
              <w:rPr>
                <w:rFonts w:ascii="Arial" w:cs="Arial" w:eastAsia="Arial" w:hAnsi="Arial"/>
                <w:sz w:val="18"/>
                <w:szCs w:val="18"/>
                <w:color w:val="auto"/>
                <w:w w:val="97"/>
              </w:rPr>
              <w:t>49.5%</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780" w:type="dxa"/>
            <w:vAlign w:val="bottom"/>
          </w:tcPr>
          <w:p>
            <w:pPr>
              <w:spacing w:after="0"/>
              <w:rPr>
                <w:sz w:val="19"/>
                <w:szCs w:val="19"/>
                <w:color w:val="auto"/>
              </w:rPr>
            </w:pPr>
          </w:p>
        </w:tc>
        <w:tc>
          <w:tcPr>
            <w:tcW w:w="11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5"/>
              </w:rPr>
              <w:t>22.1</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5"/>
              </w:rPr>
              <w:t>21.9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margin</w:t>
            </w:r>
          </w:p>
        </w:tc>
        <w:tc>
          <w:tcPr>
            <w:tcW w:w="348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26.2%</w:t>
            </w:r>
          </w:p>
        </w:tc>
        <w:tc>
          <w:tcPr>
            <w:tcW w:w="178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w w:val="97"/>
              </w:rPr>
              <w:t>25.9%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80" w:type="dxa"/>
            <w:vAlign w:val="bottom"/>
            <w:vMerge w:val="restart"/>
          </w:tcPr>
          <w:p>
            <w:pPr>
              <w:jc w:val="right"/>
              <w:ind w:right="497"/>
              <w:spacing w:after="0"/>
              <w:rPr>
                <w:sz w:val="20"/>
                <w:szCs w:val="20"/>
                <w:color w:val="auto"/>
              </w:rPr>
            </w:pPr>
            <w:r>
              <w:rPr>
                <w:rFonts w:ascii="Arial" w:cs="Arial" w:eastAsia="Arial" w:hAnsi="Arial"/>
                <w:sz w:val="18"/>
                <w:szCs w:val="18"/>
                <w:color w:val="auto"/>
              </w:rPr>
              <w:t>25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right="20" w:firstLine="436"/>
        <w:spacing w:after="0" w:line="334" w:lineRule="auto"/>
        <w:rPr>
          <w:sz w:val="20"/>
          <w:szCs w:val="20"/>
          <w:color w:val="auto"/>
        </w:rPr>
      </w:pPr>
      <w:r>
        <w:rPr>
          <w:rFonts w:ascii="Arial" w:cs="Arial" w:eastAsia="Arial" w:hAnsi="Arial"/>
          <w:sz w:val="16"/>
          <w:szCs w:val="16"/>
          <w:color w:val="auto"/>
        </w:rPr>
        <w:t>Gross margins from our Data and Analytics Services segment were 46.2% of revenues during the six month period ended June 30, 2021 compared to 49.5% in the corresponding period of 2020. This gross margin decline reflects a lower margin profile in our acquired AmberLeaf business.</w:t>
      </w:r>
    </w:p>
    <w:p>
      <w:pPr>
        <w:spacing w:after="0" w:line="129" w:lineRule="exact"/>
        <w:rPr>
          <w:sz w:val="20"/>
          <w:szCs w:val="20"/>
          <w:color w:val="auto"/>
        </w:rPr>
      </w:pPr>
    </w:p>
    <w:p>
      <w:pPr>
        <w:ind w:left="180" w:right="580" w:firstLine="436"/>
        <w:spacing w:after="0" w:line="259" w:lineRule="auto"/>
        <w:rPr>
          <w:sz w:val="20"/>
          <w:szCs w:val="20"/>
          <w:color w:val="auto"/>
        </w:rPr>
      </w:pPr>
      <w:r>
        <w:rPr>
          <w:rFonts w:ascii="Arial" w:cs="Arial" w:eastAsia="Arial" w:hAnsi="Arial"/>
          <w:sz w:val="18"/>
          <w:szCs w:val="18"/>
          <w:color w:val="auto"/>
        </w:rPr>
        <w:t>Gross margins from our IT Staffing Services segment were 22.1% in the six months ended June 30, 2021 compared to 21.9% during the corresponding period of 2020. This 20-basis point expansion was due to better gross margins on new assignments secured during the last several quarters.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14" w:lineRule="exact"/>
        <w:rPr>
          <w:sz w:val="20"/>
          <w:szCs w:val="20"/>
          <w:color w:val="auto"/>
        </w:rPr>
      </w:pPr>
    </w:p>
    <w:p>
      <w:pPr>
        <w:jc w:val="both"/>
        <w:ind w:left="180" w:firstLine="436"/>
        <w:spacing w:after="0" w:line="300" w:lineRule="auto"/>
        <w:rPr>
          <w:sz w:val="20"/>
          <w:szCs w:val="20"/>
          <w:color w:val="auto"/>
        </w:rPr>
      </w:pPr>
      <w:r>
        <w:rPr>
          <w:rFonts w:ascii="Arial" w:cs="Arial" w:eastAsia="Arial" w:hAnsi="Arial"/>
          <w:sz w:val="17"/>
          <w:szCs w:val="17"/>
          <w:color w:val="auto"/>
        </w:rPr>
        <w:t>Below is a tabular presentation of operating expenses by sales, operations, amortization of acquired intangible assets, the revaluation of contingent consideration and general and administrative categories for the six months ended June 30, 2021 and 2020, respectively:</w:t>
      </w:r>
    </w:p>
    <w:p>
      <w:pPr>
        <w:spacing w:after="0" w:line="15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2200" w:type="dxa"/>
            <w:vAlign w:val="bottom"/>
            <w:gridSpan w:val="5"/>
          </w:tcPr>
          <w:p>
            <w:pPr>
              <w:ind w:left="1000"/>
              <w:spacing w:after="0"/>
              <w:rPr>
                <w:sz w:val="20"/>
                <w:szCs w:val="20"/>
                <w:color w:val="auto"/>
              </w:rPr>
            </w:pPr>
            <w:r>
              <w:rPr>
                <w:rFonts w:ascii="Arial" w:cs="Arial" w:eastAsia="Arial" w:hAnsi="Arial"/>
                <w:sz w:val="14"/>
                <w:szCs w:val="14"/>
                <w:b w:val="1"/>
                <w:bCs w:val="1"/>
                <w:color w:val="auto"/>
                <w:w w:val="97"/>
              </w:rPr>
              <w:t>Six Months Ended</w:t>
            </w:r>
          </w:p>
        </w:tc>
        <w:tc>
          <w:tcPr>
            <w:tcW w:w="1940" w:type="dxa"/>
            <w:vAlign w:val="bottom"/>
            <w:gridSpan w:val="4"/>
          </w:tcPr>
          <w:p>
            <w:pPr>
              <w:ind w:left="7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0"/>
        </w:trPr>
        <w:tc>
          <w:tcPr>
            <w:tcW w:w="416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June 30, 2021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2800" w:type="dxa"/>
            <w:vAlign w:val="bottom"/>
            <w:tcBorders>
              <w:top w:val="single" w:sz="8" w:color="CCEEFF"/>
              <w:bottom w:val="single" w:sz="8" w:color="auto"/>
            </w:tcBorders>
            <w:gridSpan w:val="2"/>
            <w:shd w:val="clear" w:color="auto" w:fill="CCEEFF"/>
          </w:tcPr>
          <w:p>
            <w:pPr>
              <w:spacing w:after="0" w:line="154" w:lineRule="exact"/>
              <w:rPr>
                <w:sz w:val="20"/>
                <w:szCs w:val="20"/>
                <w:color w:val="auto"/>
              </w:rPr>
            </w:pPr>
            <w:r>
              <w:rPr>
                <w:rFonts w:ascii="Arial" w:cs="Arial" w:eastAsia="Arial" w:hAnsi="Arial"/>
                <w:sz w:val="17"/>
                <w:szCs w:val="17"/>
                <w:b w:val="1"/>
                <w:bCs w:val="1"/>
                <w:color w:val="auto"/>
                <w:w w:val="91"/>
              </w:rPr>
              <w:t>Data and Analytics Services Segment</w:t>
            </w: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Revaluation of Contingent Consideration</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General &amp; Administrative</w:t>
            </w:r>
          </w:p>
        </w:tc>
        <w:tc>
          <w:tcPr>
            <w:tcW w:w="10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11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1000" w:type="dxa"/>
            <w:vAlign w:val="bottom"/>
          </w:tcPr>
          <w:p>
            <w:pPr>
              <w:spacing w:after="0"/>
              <w:rPr>
                <w:sz w:val="24"/>
                <w:szCs w:val="2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5"/>
              </w:rPr>
              <w:t>Six Months Ended</w:t>
            </w:r>
          </w:p>
        </w:tc>
        <w:tc>
          <w:tcPr>
            <w:tcW w:w="1940" w:type="dxa"/>
            <w:vAlign w:val="bottom"/>
            <w:gridSpan w:val="4"/>
          </w:tcPr>
          <w:p>
            <w:pPr>
              <w:ind w:left="7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0"/>
        </w:trPr>
        <w:tc>
          <w:tcPr>
            <w:tcW w:w="416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June 30, 2021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IT Staffing Services Segment</w:t>
            </w:r>
          </w:p>
        </w:tc>
        <w:tc>
          <w:tcPr>
            <w:tcW w:w="10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3.7</w:t>
            </w:r>
          </w:p>
        </w:tc>
        <w:tc>
          <w:tcPr>
            <w:tcW w:w="860" w:type="dxa"/>
            <w:vAlign w:val="bottom"/>
            <w:tcBorders>
              <w:top w:val="single" w:sz="8" w:color="CCEEFF"/>
            </w:tcBorders>
            <w:gridSpan w:val="2"/>
          </w:tcPr>
          <w:p>
            <w:pPr>
              <w:ind w:left="74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1060" w:type="dxa"/>
            <w:vAlign w:val="bottom"/>
            <w:gridSpan w:val="2"/>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S,G&amp;A Expenses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firstLine="436"/>
        <w:spacing w:after="0" w:line="297" w:lineRule="auto"/>
        <w:rPr>
          <w:sz w:val="20"/>
          <w:szCs w:val="20"/>
          <w:color w:val="auto"/>
        </w:rPr>
      </w:pPr>
      <w:r>
        <w:rPr>
          <w:rFonts w:ascii="Arial" w:cs="Arial" w:eastAsia="Arial" w:hAnsi="Arial"/>
          <w:sz w:val="16"/>
          <w:szCs w:val="16"/>
          <w:color w:val="auto"/>
        </w:rPr>
        <w:t>S,G,&amp;A expenses for the six months ended June 30, 2021 totaled $19.9 million or 19.2% of total revenues, compared to $19.3 million or 19.7% of total revenues for the six months ended June 30, 2020. Excluding the revaluation of contingent consideration in the 2021 period and the amortization of acquired intangible assets in both periods, S,G,&amp;A expense as a percentage of total revenues would have been 19.6% and 18.3%, respectively. Fluctuations within S,G,&amp;A expense components during the first six months of 2021, compared to the first six months of 2020, included the following:</w:t>
      </w:r>
    </w:p>
    <w:p>
      <w:pPr>
        <w:spacing w:after="0" w:line="64" w:lineRule="exact"/>
        <w:rPr>
          <w:sz w:val="20"/>
          <w:szCs w:val="20"/>
          <w:color w:val="auto"/>
        </w:rPr>
      </w:pPr>
    </w:p>
    <w:p>
      <w:pPr>
        <w:ind w:left="1580" w:right="60" w:hanging="431"/>
        <w:spacing w:after="0" w:line="306" w:lineRule="auto"/>
        <w:tabs>
          <w:tab w:leader="none" w:pos="1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Sales expense increased by $0.7 million in the 2021 period compared to the corresponding 2020 period. The entire $0.7 million increase reflected investments in the sales organization of our Data and Analytics Services segment, of which $0.5 million pertained to the AmberLeaf acquisition. Sales expense in our IT Staffing Services segment was flat on a year-over-year basis.</w:t>
      </w:r>
    </w:p>
    <w:p>
      <w:pPr>
        <w:spacing w:after="0" w:line="57" w:lineRule="exact"/>
        <w:rPr>
          <w:rFonts w:ascii="Arial" w:cs="Arial" w:eastAsia="Arial" w:hAnsi="Arial"/>
          <w:sz w:val="16"/>
          <w:szCs w:val="16"/>
          <w:color w:val="auto"/>
        </w:rPr>
      </w:pPr>
    </w:p>
    <w:p>
      <w:pPr>
        <w:ind w:left="1580" w:right="420" w:hanging="431"/>
        <w:spacing w:after="0" w:line="297" w:lineRule="auto"/>
        <w:tabs>
          <w:tab w:leader="none" w:pos="1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Operations expense increased by $0.5 million in the 2021 period compared to the corresponding 2020 period. Approximately $0.7 million reflected investments made to the delivery organization of our Data and Analytics Services segment, including the AmberLeaf acquisition. Operations expense in our IT Staffing Services segment declined by $0.2 million and largely related to reductions in staff although we started to re-hire in the second quarter to due increased demand.</w:t>
      </w:r>
    </w:p>
    <w:p>
      <w:pPr>
        <w:spacing w:after="0" w:line="64" w:lineRule="exact"/>
        <w:rPr>
          <w:rFonts w:ascii="Arial" w:cs="Arial" w:eastAsia="Arial" w:hAnsi="Arial"/>
          <w:sz w:val="16"/>
          <w:szCs w:val="16"/>
          <w:color w:val="auto"/>
        </w:rPr>
      </w:pPr>
    </w:p>
    <w:p>
      <w:pPr>
        <w:ind w:left="1580" w:hanging="431"/>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acquired intangible assets was $0.2 million higher in the 2021 period due to the AmberLeaf acquisition.</w:t>
      </w:r>
    </w:p>
    <w:p>
      <w:pPr>
        <w:spacing w:after="0" w:line="126" w:lineRule="exact"/>
        <w:rPr>
          <w:rFonts w:ascii="Arial" w:cs="Arial" w:eastAsia="Arial" w:hAnsi="Arial"/>
          <w:sz w:val="18"/>
          <w:szCs w:val="18"/>
          <w:color w:val="auto"/>
        </w:rPr>
      </w:pPr>
    </w:p>
    <w:p>
      <w:pPr>
        <w:ind w:left="1580" w:right="60" w:hanging="431"/>
        <w:spacing w:after="0" w:line="270" w:lineRule="auto"/>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Revaluation of contingent consideration totaled a credit of $2.0 million in the 2021 period and related to the AmberLeaf acquisition. No contingent consideration existed on the Company’s balance sheet in the corresponding 2020 period.</w:t>
      </w:r>
    </w:p>
    <w:p>
      <w:pPr>
        <w:spacing w:after="0" w:line="81" w:lineRule="exact"/>
        <w:rPr>
          <w:rFonts w:ascii="Arial" w:cs="Arial" w:eastAsia="Arial" w:hAnsi="Arial"/>
          <w:sz w:val="18"/>
          <w:szCs w:val="18"/>
          <w:color w:val="auto"/>
        </w:rPr>
      </w:pPr>
    </w:p>
    <w:p>
      <w:pPr>
        <w:ind w:left="1580" w:right="300" w:hanging="431"/>
        <w:spacing w:after="0" w:line="253" w:lineRule="auto"/>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and administrative expense increased by $1.2 million in the 2021 period compared to the corresponding 2020 period. General and administrative expense in our Data and Analytics Services segment increased by $0.8 million due to executive leadership staff increases and higher stock-based compensation expense. In our IT Staffing Services segment, higher stock-based compensation expense and additional administrative staff (from the austerity-impacted levels of 2020) were responsible for a $0.4 million increase from 2020.</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82"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Income / (Expense) Components: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Income / (Expense) for the six months ended June 30, 2021 consisted of interest expense of ($354,000) and foreign exchange losses of</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($22,000). For the six months ended June 30, 2020, Other Income / (Expense) consisted of interest expense of ($477,000) and foreign exchange gains of</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$94,000. The lower level of interest expense was reflective of debt repayments in 2021 and 2020.</w:t>
      </w:r>
    </w:p>
    <w:p>
      <w:pPr>
        <w:spacing w:after="0" w:line="3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Income Tax Expense:</w:t>
      </w:r>
    </w:p>
    <w:p>
      <w:pPr>
        <w:spacing w:after="0" w:line="114" w:lineRule="exact"/>
        <w:rPr>
          <w:sz w:val="20"/>
          <w:szCs w:val="20"/>
          <w:color w:val="auto"/>
        </w:rPr>
      </w:pPr>
    </w:p>
    <w:p>
      <w:pPr>
        <w:ind w:left="180" w:right="140" w:firstLine="436"/>
        <w:spacing w:after="0" w:line="306" w:lineRule="auto"/>
        <w:rPr>
          <w:sz w:val="20"/>
          <w:szCs w:val="20"/>
          <w:color w:val="auto"/>
        </w:rPr>
      </w:pPr>
      <w:r>
        <w:rPr>
          <w:rFonts w:ascii="Arial" w:cs="Arial" w:eastAsia="Arial" w:hAnsi="Arial"/>
          <w:sz w:val="16"/>
          <w:szCs w:val="16"/>
          <w:color w:val="auto"/>
        </w:rPr>
        <w:t>Income tax expense for the six months ended June 30, 2021 totaled $1.9 million, representing an effective tax rate on pre-tax income of 27.5% compared to $0.9 million for the six months ended June 30, 2020, which represented a 15.2% effective tax rate on pre-tax income. The lower effective tax rate in the 2020 period largely reflected excess tax benefits related to the exercise of stock options and the vesting of restricted share units.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Financial Conditions and Liquidity:</w:t>
      </w:r>
    </w:p>
    <w:p>
      <w:pPr>
        <w:spacing w:after="0" w:line="114" w:lineRule="exact"/>
        <w:rPr>
          <w:sz w:val="20"/>
          <w:szCs w:val="20"/>
          <w:color w:val="auto"/>
        </w:rPr>
      </w:pPr>
    </w:p>
    <w:p>
      <w:pPr>
        <w:ind w:left="180" w:right="60" w:firstLine="436"/>
        <w:spacing w:after="0" w:line="270" w:lineRule="auto"/>
        <w:rPr>
          <w:sz w:val="20"/>
          <w:szCs w:val="20"/>
          <w:color w:val="auto"/>
        </w:rPr>
      </w:pPr>
      <w:r>
        <w:rPr>
          <w:rFonts w:ascii="Arial" w:cs="Arial" w:eastAsia="Arial" w:hAnsi="Arial"/>
          <w:sz w:val="18"/>
          <w:szCs w:val="18"/>
          <w:color w:val="auto"/>
        </w:rPr>
        <w:t>At June 30, 2021, we had bank debt, net of cash balances on hand, of $10.0 million and approximately $26.1 million of borrowing capacity under our existing credit facility.</w:t>
      </w:r>
    </w:p>
    <w:p>
      <w:pPr>
        <w:spacing w:after="0" w:line="175" w:lineRule="exact"/>
        <w:rPr>
          <w:sz w:val="20"/>
          <w:szCs w:val="20"/>
          <w:color w:val="auto"/>
        </w:rPr>
      </w:pPr>
    </w:p>
    <w:p>
      <w:pPr>
        <w:ind w:left="180" w:firstLine="436"/>
        <w:spacing w:after="0" w:line="271" w:lineRule="auto"/>
        <w:rPr>
          <w:sz w:val="20"/>
          <w:szCs w:val="20"/>
          <w:color w:val="auto"/>
        </w:rPr>
      </w:pPr>
      <w:r>
        <w:rPr>
          <w:rFonts w:ascii="Arial" w:cs="Arial" w:eastAsia="Arial" w:hAnsi="Arial"/>
          <w:sz w:val="17"/>
          <w:szCs w:val="17"/>
          <w:color w:val="auto"/>
        </w:rPr>
        <w:t>Historically, we have funded our organic business needs with cash generated from operating activities. Controlling our operating working capital levels by closely managing our accounts receivable balance is an important element of cash generation. At June 30, 2021, our accounts receivable “days sales outstanding” (“DSOs”) measurement was 63-days, which improved by 2-days from our DSO measurement at March 31, 2021. We believe that cash provided by operating activities, cash balances on hand and current availability under our credit facility will be adequate to fund our business needs and debt service obligations over the next twelve months, exclusive of any acquisition activity.</w:t>
      </w:r>
    </w:p>
    <w:p>
      <w:pPr>
        <w:spacing w:after="0" w:line="28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Cash flows provided by (used in) operating activities:</w:t>
      </w:r>
    </w:p>
    <w:p>
      <w:pPr>
        <w:spacing w:after="0" w:line="114" w:lineRule="exact"/>
        <w:rPr>
          <w:sz w:val="20"/>
          <w:szCs w:val="20"/>
          <w:color w:val="auto"/>
        </w:rPr>
      </w:pPr>
    </w:p>
    <w:p>
      <w:pPr>
        <w:ind w:left="180" w:right="140" w:firstLine="436"/>
        <w:spacing w:after="0" w:line="270" w:lineRule="auto"/>
        <w:rPr>
          <w:sz w:val="20"/>
          <w:szCs w:val="20"/>
          <w:color w:val="auto"/>
        </w:rPr>
      </w:pPr>
      <w:r>
        <w:rPr>
          <w:rFonts w:ascii="Arial" w:cs="Arial" w:eastAsia="Arial" w:hAnsi="Arial"/>
          <w:sz w:val="17"/>
          <w:szCs w:val="17"/>
          <w:color w:val="auto"/>
        </w:rPr>
        <w:t>Cash provided by operating activities for the six months ended June 30, 2021 totaled $0.2 million compared to cash provided by operating activities of $11.6 million during the six months ended June 30, 2020. Elements of cash flow during the 2021 period were net income of $4.9 million, non-cash charges of $1.9 million and an increase in operating working capital levels of ($6.6 million). Elements of cash flow during the corresponding 2020 period were net income of $4.8 million, non-cash charges of $2.6 million and a decrease in operating working capital levels of $4.2 million. The operating working capital increase in the 2021 period reflected investment to support revenue growth. The operating working capital decrease in the 2020 period reflected an improvement in DSOs and higher payroll related accruals.</w:t>
      </w: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4" w:lineRule="exact"/>
        <w:rPr>
          <w:sz w:val="20"/>
          <w:szCs w:val="20"/>
          <w:color w:val="auto"/>
        </w:rPr>
      </w:pPr>
    </w:p>
    <w:p>
      <w:pPr>
        <w:jc w:val="both"/>
        <w:ind w:left="180" w:right="460" w:firstLine="436"/>
        <w:spacing w:after="0" w:line="259" w:lineRule="auto"/>
        <w:rPr>
          <w:sz w:val="20"/>
          <w:szCs w:val="20"/>
          <w:color w:val="auto"/>
        </w:rPr>
      </w:pPr>
      <w:r>
        <w:rPr>
          <w:rFonts w:ascii="Arial" w:cs="Arial" w:eastAsia="Arial" w:hAnsi="Arial"/>
          <w:sz w:val="18"/>
          <w:szCs w:val="18"/>
          <w:color w:val="auto"/>
        </w:rPr>
        <w:t>Cash (used in) investing activities for the six months ended June 30, 2021 was ($525,000) compared to ($135,000) for the six months ended June 30, 2020. In 2021 capital expenditures and payments of office lease deposits accounted for investing activities. In 2020 capital expenditures accounted for all investing activities.</w:t>
      </w:r>
    </w:p>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Cash flows provided by (used in) financing activities:</w:t>
      </w:r>
    </w:p>
    <w:p>
      <w:pPr>
        <w:spacing w:after="0" w:line="114" w:lineRule="exact"/>
        <w:rPr>
          <w:sz w:val="20"/>
          <w:szCs w:val="20"/>
          <w:color w:val="auto"/>
        </w:rPr>
      </w:pPr>
    </w:p>
    <w:p>
      <w:pPr>
        <w:ind w:left="180" w:right="120" w:firstLine="436"/>
        <w:spacing w:after="0" w:line="297" w:lineRule="auto"/>
        <w:rPr>
          <w:sz w:val="20"/>
          <w:szCs w:val="20"/>
          <w:color w:val="auto"/>
        </w:rPr>
      </w:pPr>
      <w:r>
        <w:rPr>
          <w:rFonts w:ascii="Arial" w:cs="Arial" w:eastAsia="Arial" w:hAnsi="Arial"/>
          <w:sz w:val="16"/>
          <w:szCs w:val="16"/>
          <w:color w:val="auto"/>
        </w:rPr>
        <w:t>Cash (used in) financing activities for the six months ended June 30, 2021 totaled ($1.9 million) and consisted of term loan debt repayments of ($2.2 million) partially offset by $0.3 million related to proceeds from the issuance of common shares and the exercise of stock options. Cash (used in) financing activities for the six months ended June 30, 2020 totaled ($9.4 million) and largely consisted of net debt payments on our term loan and revolving credit line of ($10.8 million) partially offset by $1.4 million of proceeds from the issuance of common stock.</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Off-Balance Sheet Arrangements: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have any off-balance sheet arrangements.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482"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Inflation:</w:t>
      </w:r>
    </w:p>
    <w:p>
      <w:pPr>
        <w:spacing w:after="0" w:line="114" w:lineRule="exact"/>
        <w:rPr>
          <w:sz w:val="20"/>
          <w:szCs w:val="20"/>
          <w:color w:val="auto"/>
        </w:rPr>
      </w:pPr>
    </w:p>
    <w:p>
      <w:pPr>
        <w:ind w:left="180" w:right="20" w:firstLine="436"/>
        <w:spacing w:after="0" w:line="259"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On an ongoing basis, we attempt to minimize any effects of inflation on our operating results by controlling operating costs and, whenever possible, seeking to ensure that billing rates are adjusted periodically to reflect increases in costs due to inflation.</w:t>
      </w:r>
    </w:p>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Seasonality:</w:t>
      </w:r>
    </w:p>
    <w:p>
      <w:pPr>
        <w:spacing w:after="0" w:line="114" w:lineRule="exact"/>
        <w:rPr>
          <w:sz w:val="20"/>
          <w:szCs w:val="20"/>
          <w:color w:val="auto"/>
        </w:rPr>
      </w:pPr>
    </w:p>
    <w:p>
      <w:pPr>
        <w:ind w:left="180" w:right="100" w:firstLine="436"/>
        <w:spacing w:after="0" w:line="255" w:lineRule="auto"/>
        <w:rPr>
          <w:sz w:val="20"/>
          <w:szCs w:val="20"/>
          <w:color w:val="auto"/>
        </w:rPr>
      </w:pPr>
      <w:r>
        <w:rPr>
          <w:rFonts w:ascii="Arial" w:cs="Arial" w:eastAsia="Arial" w:hAnsi="Arial"/>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9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Recent accounting pronouncements are described in Note 16 to the accompanying financial statements.</w:t>
      </w:r>
    </w:p>
    <w:p>
      <w:pPr>
        <w:spacing w:after="0" w:line="363"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ind w:left="180" w:right="160" w:firstLine="436"/>
        <w:spacing w:after="0" w:line="253" w:lineRule="auto"/>
        <w:rPr>
          <w:sz w:val="20"/>
          <w:szCs w:val="20"/>
          <w:color w:val="auto"/>
        </w:rPr>
      </w:pPr>
      <w:r>
        <w:rPr>
          <w:rFonts w:ascii="Arial" w:cs="Arial" w:eastAsia="Arial" w:hAnsi="Arial"/>
          <w:sz w:val="18"/>
          <w:szCs w:val="18"/>
          <w:color w:val="auto"/>
        </w:rPr>
        <w:t>Cash and cash equivalents are defined as cash and highly liquid investments with maturities of three months or less when purchased. Cash equivalents are stated at cost, which approximates market value. Our cash flows and earnings are subject to fluctuations due to currency exchange rate variations. Foreign currency risk exists by nature of our global recruitment and delivery centers. In 2012 through 2015, we attempted to limit our exposure to currency exchange fluctuations in the Indian rupee via the purchase of foreign currency forward contracts. The Company elected not to engage in currency hedging activities in 2016 to date.</w:t>
      </w:r>
    </w:p>
    <w:p>
      <w:pPr>
        <w:spacing w:after="0" w:line="334"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4" w:lineRule="exact"/>
        <w:rPr>
          <w:sz w:val="20"/>
          <w:szCs w:val="20"/>
          <w:color w:val="auto"/>
        </w:rPr>
      </w:pPr>
    </w:p>
    <w:p>
      <w:pPr>
        <w:ind w:left="180" w:firstLine="436"/>
        <w:spacing w:after="0" w:line="351" w:lineRule="auto"/>
        <w:rPr>
          <w:sz w:val="20"/>
          <w:szCs w:val="20"/>
          <w:color w:val="auto"/>
        </w:rPr>
      </w:pPr>
      <w:r>
        <w:rPr>
          <w:rFonts w:ascii="Arial" w:cs="Arial" w:eastAsia="Arial" w:hAnsi="Arial"/>
          <w:sz w:val="14"/>
          <w:szCs w:val="14"/>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27" w:lineRule="exact"/>
        <w:rPr>
          <w:sz w:val="20"/>
          <w:szCs w:val="20"/>
          <w:color w:val="auto"/>
        </w:rPr>
      </w:pPr>
    </w:p>
    <w:p>
      <w:pPr>
        <w:ind w:left="180" w:right="280" w:firstLine="436"/>
        <w:spacing w:after="0" w:line="271"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not effective due to the previously identified and disclosed material weaknesses described below.</w:t>
      </w:r>
    </w:p>
    <w:p>
      <w:pPr>
        <w:spacing w:after="0" w:line="179" w:lineRule="exact"/>
        <w:rPr>
          <w:sz w:val="20"/>
          <w:szCs w:val="20"/>
          <w:color w:val="auto"/>
        </w:rPr>
      </w:pPr>
    </w:p>
    <w:p>
      <w:pPr>
        <w:ind w:left="180" w:firstLine="436"/>
        <w:spacing w:after="0" w:line="288" w:lineRule="auto"/>
        <w:rPr>
          <w:sz w:val="20"/>
          <w:szCs w:val="20"/>
          <w:color w:val="auto"/>
        </w:rPr>
      </w:pPr>
      <w:r>
        <w:rPr>
          <w:rFonts w:ascii="Arial" w:cs="Arial" w:eastAsia="Arial" w:hAnsi="Arial"/>
          <w:sz w:val="16"/>
          <w:szCs w:val="16"/>
          <w:color w:val="auto"/>
        </w:rPr>
        <w:t>The Company completed the acquisition of AmberLeaf Partners, Inc. on October 1, 2020 and has not yet included AmberLeaf in its assessment of the effectiveness of its internal control over financial reporting. The Company is currently integrating AmberLeaf into its operations, compliance programs and internal control processes. Accordingly, pursuant to the SEC’s general guidance that an assessment of a recently acquired business may be omitted from the scope of an assessment for one year following the acquisition, the scope of our assessment of the effectiveness of our disclosure controls and procedures does not include AmberLeaf. AmberLeaf constituted approximately 17% of the Company’s total assets (inclusive of acquired intangible assets) as of June 30, 2021, and approximately 4% of the Company’s net sales for the six months ended June 30, 2021. AmberLeaf will be included in our assessment of the effectiveness of our internal control over financial reporting as of December 31, 2021.</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Previously Identified Material Weakness in Internal Control over Financial Reporting</w:t>
      </w:r>
    </w:p>
    <w:p>
      <w:pPr>
        <w:spacing w:after="0" w:line="114" w:lineRule="exact"/>
        <w:rPr>
          <w:sz w:val="20"/>
          <w:szCs w:val="20"/>
          <w:color w:val="auto"/>
        </w:rPr>
      </w:pPr>
    </w:p>
    <w:p>
      <w:pPr>
        <w:ind w:left="180" w:right="60" w:firstLine="436"/>
        <w:spacing w:after="0" w:line="289" w:lineRule="auto"/>
        <w:rPr>
          <w:sz w:val="20"/>
          <w:szCs w:val="20"/>
          <w:color w:val="auto"/>
        </w:rPr>
      </w:pPr>
      <w:r>
        <w:rPr>
          <w:rFonts w:ascii="Arial" w:cs="Arial" w:eastAsia="Arial" w:hAnsi="Arial"/>
          <w:sz w:val="16"/>
          <w:szCs w:val="16"/>
          <w:color w:val="auto"/>
        </w:rPr>
        <w:t>As disclosed in Part II, Item 9A of the Company’s Annual Report on Form 10-K for the year ended December 31, 2020, management has identified material weaknesses in the Company’s internal controls related to (1) management review controls designed to address risks associated with complex accounting matters that arise from significant routine and non-routine transactions related to goodwill impairment, business combinations, revenue recognition, share-based compensation, and income taxes; and (2) information technology general controls in the areas of change management, information security and IT operations. The material weaknesses will not be considered remediated until the applicable remedial controls operate for a sufficient period of time and management has concluded, through testing, that these controls are operating effectively.</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82"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Implementation of Plan to Remediate Material Weaknesses</w:t>
      </w:r>
    </w:p>
    <w:p>
      <w:pPr>
        <w:spacing w:after="0" w:line="114" w:lineRule="exact"/>
        <w:rPr>
          <w:sz w:val="20"/>
          <w:szCs w:val="20"/>
          <w:color w:val="auto"/>
        </w:rPr>
      </w:pPr>
    </w:p>
    <w:p>
      <w:pPr>
        <w:jc w:val="both"/>
        <w:ind w:left="180" w:firstLine="436"/>
        <w:spacing w:after="0" w:line="306" w:lineRule="auto"/>
        <w:rPr>
          <w:sz w:val="20"/>
          <w:szCs w:val="20"/>
          <w:color w:val="auto"/>
        </w:rPr>
      </w:pPr>
      <w:r>
        <w:rPr>
          <w:rFonts w:ascii="Arial" w:cs="Arial" w:eastAsia="Arial" w:hAnsi="Arial"/>
          <w:sz w:val="16"/>
          <w:szCs w:val="16"/>
          <w:color w:val="auto"/>
        </w:rPr>
        <w:t>Management is in the process of implementing measures designed to improve the Company’s internal control over financial reporting to remediate these material weaknesses. Remediation activities and planning are subject to ongoing senior management review, as well as audit committee oversight. During the six months ended June 30, 2021, we implemented the following changes to our internal control over financial reporting:</w:t>
      </w:r>
    </w:p>
    <w:p>
      <w:pPr>
        <w:spacing w:after="0" w:line="58" w:lineRule="exact"/>
        <w:rPr>
          <w:sz w:val="20"/>
          <w:szCs w:val="20"/>
          <w:color w:val="auto"/>
        </w:rPr>
      </w:pPr>
    </w:p>
    <w:p>
      <w:pPr>
        <w:ind w:left="1580" w:hanging="431"/>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hired additional personnel in both the first and second quarters of 2021;</w:t>
      </w:r>
    </w:p>
    <w:p>
      <w:pPr>
        <w:spacing w:after="0" w:line="126" w:lineRule="exact"/>
        <w:rPr>
          <w:rFonts w:ascii="Arial" w:cs="Arial" w:eastAsia="Arial" w:hAnsi="Arial"/>
          <w:sz w:val="18"/>
          <w:szCs w:val="18"/>
          <w:color w:val="auto"/>
        </w:rPr>
      </w:pPr>
    </w:p>
    <w:p>
      <w:pPr>
        <w:ind w:left="1580" w:right="200" w:hanging="431"/>
        <w:spacing w:after="0" w:line="270" w:lineRule="auto"/>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enhanced our management review control processes associated with complex accounting matters beginning in the first quarter and substantially completed in the second quarter of 2021; and</w:t>
      </w:r>
    </w:p>
    <w:p>
      <w:pPr>
        <w:spacing w:after="0" w:line="81" w:lineRule="exact"/>
        <w:rPr>
          <w:rFonts w:ascii="Arial" w:cs="Arial" w:eastAsia="Arial" w:hAnsi="Arial"/>
          <w:sz w:val="18"/>
          <w:szCs w:val="18"/>
          <w:color w:val="auto"/>
        </w:rPr>
      </w:pPr>
    </w:p>
    <w:p>
      <w:pPr>
        <w:ind w:left="1580" w:right="100" w:hanging="431"/>
        <w:spacing w:after="0" w:line="334" w:lineRule="auto"/>
        <w:tabs>
          <w:tab w:leader="none" w:pos="1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started the systems implementation process in the second quarter of 2021 to move the Data and Analytics subsidiary responsible for material weakness #2 above, to our Oracle Cloud ERP System, which is expected to be completed in the fourth quarter of 2021.</w:t>
      </w:r>
    </w:p>
    <w:p>
      <w:pPr>
        <w:spacing w:after="0" w:line="129" w:lineRule="exact"/>
        <w:rPr>
          <w:sz w:val="20"/>
          <w:szCs w:val="20"/>
          <w:color w:val="auto"/>
        </w:rPr>
      </w:pPr>
    </w:p>
    <w:p>
      <w:pPr>
        <w:ind w:left="180" w:right="80" w:firstLine="436"/>
        <w:spacing w:after="0" w:line="284" w:lineRule="auto"/>
        <w:rPr>
          <w:sz w:val="20"/>
          <w:szCs w:val="20"/>
          <w:color w:val="auto"/>
        </w:rPr>
      </w:pPr>
      <w:r>
        <w:rPr>
          <w:rFonts w:ascii="Arial" w:cs="Arial" w:eastAsia="Arial" w:hAnsi="Arial"/>
          <w:sz w:val="16"/>
          <w:szCs w:val="16"/>
          <w:color w:val="auto"/>
        </w:rPr>
        <w:t>While we believe the changes described above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or that we may take in the future, will be sufficient to remediate</w:t>
      </w:r>
    </w:p>
    <w:p>
      <w:pPr>
        <w:spacing w:after="0" w:line="1" w:lineRule="exact"/>
        <w:rPr>
          <w:sz w:val="20"/>
          <w:szCs w:val="20"/>
          <w:color w:val="auto"/>
        </w:rPr>
      </w:pPr>
    </w:p>
    <w:p>
      <w:pPr>
        <w:ind w:left="180" w:right="700"/>
        <w:spacing w:after="0" w:line="284" w:lineRule="auto"/>
        <w:rPr>
          <w:sz w:val="20"/>
          <w:szCs w:val="20"/>
          <w:color w:val="auto"/>
        </w:rPr>
      </w:pPr>
      <w:r>
        <w:rPr>
          <w:rFonts w:ascii="Arial" w:cs="Arial" w:eastAsia="Arial" w:hAnsi="Arial"/>
          <w:sz w:val="17"/>
          <w:szCs w:val="17"/>
          <w:color w:val="auto"/>
        </w:rPr>
        <w:t>the material weaknesses we have identified or avoid potential future material weaknesses. Accordingly, there could continue to be a reasonable possibility that a material misstatement of our financial statements would not be prevented or detected on a timely basis.</w:t>
      </w:r>
    </w:p>
    <w:p>
      <w:pPr>
        <w:spacing w:after="0" w:line="166" w:lineRule="exact"/>
        <w:rPr>
          <w:sz w:val="20"/>
          <w:szCs w:val="20"/>
          <w:color w:val="auto"/>
        </w:rPr>
      </w:pPr>
    </w:p>
    <w:p>
      <w:pPr>
        <w:ind w:left="180" w:right="320" w:firstLine="436"/>
        <w:spacing w:after="0" w:line="270" w:lineRule="auto"/>
        <w:rPr>
          <w:sz w:val="20"/>
          <w:szCs w:val="20"/>
          <w:color w:val="auto"/>
        </w:rPr>
      </w:pPr>
      <w:r>
        <w:rPr>
          <w:rFonts w:ascii="Arial" w:cs="Arial" w:eastAsia="Arial" w:hAnsi="Arial"/>
          <w:sz w:val="18"/>
          <w:szCs w:val="18"/>
          <w:color w:val="auto"/>
        </w:rPr>
        <w:t>The certifications required by Section 302 of the Sarbanes-Oxley Act of 2002 are filed as exhibits 31.1 and 31.2, respectively, to this quarterly report on Form 10-Q.</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4" w:lineRule="exact"/>
        <w:rPr>
          <w:sz w:val="20"/>
          <w:szCs w:val="20"/>
          <w:color w:val="auto"/>
        </w:rPr>
      </w:pPr>
    </w:p>
    <w:p>
      <w:pPr>
        <w:ind w:left="180" w:right="260" w:firstLine="436"/>
        <w:spacing w:after="0" w:line="270" w:lineRule="auto"/>
        <w:rPr>
          <w:sz w:val="20"/>
          <w:szCs w:val="20"/>
          <w:color w:val="auto"/>
        </w:rPr>
      </w:pPr>
      <w:r>
        <w:rPr>
          <w:rFonts w:ascii="Arial" w:cs="Arial" w:eastAsia="Arial" w:hAnsi="Arial"/>
          <w:sz w:val="18"/>
          <w:szCs w:val="18"/>
          <w:color w:val="auto"/>
        </w:rPr>
        <w:t>As described above, there were changes in the Company’s internal control over financial reporting during the quarter ended June 30, 2021, that have materially affected, or are reasonably likely to materially affect, our internal control over financial reporting.</w:t>
      </w: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47"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8" w:lineRule="exact"/>
        <w:rPr>
          <w:sz w:val="20"/>
          <w:szCs w:val="20"/>
          <w:color w:val="auto"/>
        </w:rPr>
      </w:pPr>
    </w:p>
    <w:p>
      <w:pPr>
        <w:jc w:val="both"/>
        <w:ind w:left="180" w:firstLine="436"/>
        <w:spacing w:after="0" w:line="259" w:lineRule="auto"/>
        <w:rPr>
          <w:sz w:val="20"/>
          <w:szCs w:val="20"/>
          <w:color w:val="auto"/>
        </w:rPr>
      </w:pPr>
      <w:r>
        <w:rPr>
          <w:rFonts w:ascii="Arial" w:cs="Arial" w:eastAsia="Arial" w:hAnsi="Arial"/>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8"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8" w:lineRule="exact"/>
        <w:rPr>
          <w:sz w:val="20"/>
          <w:szCs w:val="20"/>
          <w:color w:val="auto"/>
        </w:rPr>
      </w:pPr>
    </w:p>
    <w:p>
      <w:pPr>
        <w:ind w:left="180" w:right="660" w:firstLine="436"/>
        <w:spacing w:after="0" w:line="270" w:lineRule="auto"/>
        <w:rPr>
          <w:sz w:val="20"/>
          <w:szCs w:val="20"/>
          <w:color w:val="auto"/>
        </w:rPr>
      </w:pPr>
      <w:r>
        <w:rPr>
          <w:rFonts w:ascii="Arial" w:cs="Arial" w:eastAsia="Arial" w:hAnsi="Arial"/>
          <w:sz w:val="18"/>
          <w:szCs w:val="18"/>
          <w:color w:val="auto"/>
        </w:rPr>
        <w:t>There have been no material changes from the risk factors as previously disclosed in our Annual Report on Form 10-K for the year ended December 31, 2020, filed with the SEC on March 16, 2021.</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82"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Common Stock repurchased during the quarter ended June 30, 2021 is set forth in the following table:</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w:t>
            </w:r>
          </w:p>
        </w:tc>
        <w:tc>
          <w:tcPr>
            <w:tcW w:w="64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Purchased as</w:t>
            </w:r>
          </w:p>
        </w:tc>
        <w:tc>
          <w:tcPr>
            <w:tcW w:w="1700" w:type="dxa"/>
            <w:vAlign w:val="bottom"/>
            <w:gridSpan w:val="3"/>
          </w:tcPr>
          <w:p>
            <w:pPr>
              <w:jc w:val="center"/>
              <w:ind w:left="509"/>
              <w:spacing w:after="0" w:line="147"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tcPr>
          <w:p>
            <w:pPr>
              <w:jc w:val="center"/>
              <w:ind w:left="549"/>
              <w:spacing w:after="0" w:line="147" w:lineRule="exact"/>
              <w:rPr>
                <w:sz w:val="20"/>
                <w:szCs w:val="20"/>
                <w:color w:val="auto"/>
              </w:rPr>
            </w:pPr>
            <w:r>
              <w:rPr>
                <w:rFonts w:ascii="Arial" w:cs="Arial" w:eastAsia="Arial" w:hAnsi="Arial"/>
                <w:sz w:val="14"/>
                <w:szCs w:val="14"/>
                <w:b w:val="1"/>
                <w:bCs w:val="1"/>
                <w:color w:val="auto"/>
                <w:w w:val="94"/>
              </w:rPr>
              <w:t>Part of Publicly</w:t>
            </w:r>
          </w:p>
        </w:tc>
        <w:tc>
          <w:tcPr>
            <w:tcW w:w="6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940" w:type="dxa"/>
            <w:vAlign w:val="bottom"/>
            <w:gridSpan w:val="2"/>
          </w:tcPr>
          <w:p>
            <w:pPr>
              <w:jc w:val="center"/>
              <w:ind w:left="1169"/>
              <w:spacing w:after="0" w:line="147"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7"/>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c>
          <w:tcPr>
            <w:tcW w:w="1220" w:type="dxa"/>
            <w:vAlign w:val="bottom"/>
            <w:gridSpan w:val="2"/>
          </w:tcPr>
          <w:p>
            <w:pPr>
              <w:jc w:val="center"/>
              <w:ind w:left="549"/>
              <w:spacing w:after="0" w:line="147" w:lineRule="exact"/>
              <w:rPr>
                <w:sz w:val="20"/>
                <w:szCs w:val="20"/>
                <w:color w:val="auto"/>
              </w:rPr>
            </w:pPr>
            <w:r>
              <w:rPr>
                <w:rFonts w:ascii="Arial" w:cs="Arial" w:eastAsia="Arial" w:hAnsi="Arial"/>
                <w:sz w:val="14"/>
                <w:szCs w:val="14"/>
                <w:b w:val="1"/>
                <w:bCs w:val="1"/>
                <w:color w:val="auto"/>
                <w:w w:val="93"/>
              </w:rPr>
              <w:t>Price per</w:t>
            </w:r>
          </w:p>
        </w:tc>
        <w:tc>
          <w:tcPr>
            <w:tcW w:w="64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Plans or</w:t>
            </w:r>
          </w:p>
        </w:tc>
        <w:tc>
          <w:tcPr>
            <w:tcW w:w="6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Under this Plan</w:t>
            </w:r>
          </w:p>
        </w:tc>
        <w:tc>
          <w:tcPr>
            <w:tcW w:w="0" w:type="dxa"/>
            <w:vAlign w:val="bottom"/>
          </w:tcPr>
          <w:p>
            <w:pPr>
              <w:spacing w:after="0"/>
              <w:rPr>
                <w:sz w:val="1"/>
                <w:szCs w:val="1"/>
                <w:color w:val="auto"/>
              </w:rPr>
            </w:pPr>
          </w:p>
        </w:tc>
      </w:tr>
      <w:tr>
        <w:trPr>
          <w:trHeight w:val="143"/>
        </w:trPr>
        <w:tc>
          <w:tcPr>
            <w:tcW w:w="354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9"/>
              </w:rPr>
              <w:t>Purchased</w:t>
            </w:r>
          </w:p>
        </w:tc>
        <w:tc>
          <w:tcPr>
            <w:tcW w:w="660" w:type="dxa"/>
            <w:vAlign w:val="bottom"/>
          </w:tcPr>
          <w:p>
            <w:pPr>
              <w:spacing w:after="0"/>
              <w:rPr>
                <w:sz w:val="12"/>
                <w:szCs w:val="12"/>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7"/>
              </w:rPr>
              <w:t>Share</w:t>
            </w:r>
          </w:p>
        </w:tc>
        <w:tc>
          <w:tcPr>
            <w:tcW w:w="640" w:type="dxa"/>
            <w:vAlign w:val="bottom"/>
          </w:tcPr>
          <w:p>
            <w:pPr>
              <w:spacing w:after="0"/>
              <w:rPr>
                <w:sz w:val="12"/>
                <w:szCs w:val="12"/>
                <w:color w:val="auto"/>
              </w:rPr>
            </w:pPr>
          </w:p>
        </w:tc>
        <w:tc>
          <w:tcPr>
            <w:tcW w:w="9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2"/>
              </w:rPr>
              <w:t>Programs (1)</w:t>
            </w:r>
          </w:p>
        </w:tc>
        <w:tc>
          <w:tcPr>
            <w:tcW w:w="640" w:type="dxa"/>
            <w:vAlign w:val="bottom"/>
          </w:tcPr>
          <w:p>
            <w:pPr>
              <w:spacing w:after="0"/>
              <w:rPr>
                <w:sz w:val="12"/>
                <w:szCs w:val="12"/>
                <w:color w:val="auto"/>
              </w:rPr>
            </w:pPr>
          </w:p>
        </w:tc>
        <w:tc>
          <w:tcPr>
            <w:tcW w:w="1060" w:type="dxa"/>
            <w:vAlign w:val="bottom"/>
            <w:gridSpan w:val="2"/>
          </w:tcPr>
          <w:p>
            <w:pPr>
              <w:jc w:val="center"/>
              <w:ind w:right="60"/>
              <w:spacing w:after="0" w:line="123" w:lineRule="exact"/>
              <w:rPr>
                <w:sz w:val="20"/>
                <w:szCs w:val="20"/>
                <w:color w:val="auto"/>
              </w:rPr>
            </w:pPr>
            <w:r>
              <w:rPr>
                <w:rFonts w:ascii="Arial" w:cs="Arial" w:eastAsia="Arial" w:hAnsi="Arial"/>
                <w:sz w:val="14"/>
                <w:szCs w:val="14"/>
                <w:b w:val="1"/>
                <w:bCs w:val="1"/>
                <w:color w:val="auto"/>
                <w:w w:val="92"/>
              </w:rPr>
              <w:t>or Programs (1)</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April 1, 2021 — April 30, 2021</w:t>
            </w:r>
          </w:p>
        </w:tc>
        <w:tc>
          <w:tcPr>
            <w:tcW w:w="1280" w:type="dxa"/>
            <w:vAlign w:val="bottom"/>
            <w:shd w:val="clear" w:color="auto" w:fill="CCEEFF"/>
          </w:tcPr>
          <w:p>
            <w:pPr>
              <w:spacing w:after="0"/>
              <w:rPr>
                <w:sz w:val="16"/>
                <w:szCs w:val="16"/>
                <w:color w:val="auto"/>
              </w:rPr>
            </w:pPr>
          </w:p>
        </w:tc>
        <w:tc>
          <w:tcPr>
            <w:tcW w:w="660" w:type="dxa"/>
            <w:vAlign w:val="bottom"/>
            <w:shd w:val="clear" w:color="auto" w:fill="CCEEFF"/>
          </w:tcPr>
          <w:p>
            <w:pPr>
              <w:ind w:left="380"/>
              <w:spacing w:after="0" w:line="194"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ind w:left="280"/>
              <w:spacing w:after="0" w:line="194"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ind w:left="700"/>
              <w:spacing w:after="0" w:line="194"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ind w:left="740"/>
              <w:spacing w:after="0" w:line="194"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gridSpan w:val="2"/>
          </w:tcPr>
          <w:p>
            <w:pPr>
              <w:spacing w:after="0"/>
              <w:rPr>
                <w:sz w:val="20"/>
                <w:szCs w:val="20"/>
                <w:color w:val="auto"/>
              </w:rPr>
            </w:pPr>
            <w:r>
              <w:rPr>
                <w:rFonts w:ascii="Arial" w:cs="Arial" w:eastAsia="Arial" w:hAnsi="Arial"/>
                <w:sz w:val="18"/>
                <w:szCs w:val="18"/>
                <w:color w:val="auto"/>
              </w:rPr>
              <w:t>May 1, 2021 — May 31, 2021</w:t>
            </w:r>
          </w:p>
        </w:tc>
        <w:tc>
          <w:tcPr>
            <w:tcW w:w="12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2021 — June 30, 2021</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3" w:lineRule="exact"/>
        <w:rPr>
          <w:sz w:val="20"/>
          <w:szCs w:val="20"/>
          <w:color w:val="auto"/>
        </w:rPr>
      </w:pPr>
    </w:p>
    <w:p>
      <w:pPr>
        <w:ind w:left="5540" w:right="2860" w:hanging="5366"/>
        <w:spacing w:after="0" w:line="441" w:lineRule="auto"/>
        <w:tabs>
          <w:tab w:leader="none" w:pos="6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June 30, 2021, the Company does not have a publicly announced repurchase program in place. 30</w:t>
      </w:r>
    </w:p>
    <w:p>
      <w:pPr>
        <w:sectPr>
          <w:pgSz w:w="11900" w:h="16838" w:orient="portrait"/>
          <w:cols w:equalWidth="0" w:num="1">
            <w:col w:w="10640"/>
          </w:cols>
          <w:pgMar w:left="320" w:top="482" w:right="9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Exhibits</w:t>
      </w:r>
    </w:p>
    <w:p>
      <w:pPr>
        <w:spacing w:after="0" w:line="22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80" w:type="dxa"/>
            <w:vAlign w:val="bottom"/>
          </w:tcPr>
          <w:p>
            <w:pPr>
              <w:jc w:val="right"/>
              <w:ind w:right="591"/>
              <w:spacing w:after="0"/>
              <w:rPr>
                <w:sz w:val="20"/>
                <w:szCs w:val="20"/>
                <w:color w:val="auto"/>
              </w:rPr>
            </w:pPr>
            <w:r>
              <w:rPr>
                <w:rFonts w:ascii="Arial" w:cs="Arial" w:eastAsia="Arial" w:hAnsi="Arial"/>
                <w:sz w:val="18"/>
                <w:szCs w:val="18"/>
                <w:color w:val="auto"/>
              </w:rPr>
              <w:t>10.1</w:t>
            </w:r>
          </w:p>
        </w:tc>
        <w:tc>
          <w:tcPr>
            <w:tcW w:w="9720" w:type="dxa"/>
            <w:vAlign w:val="bottom"/>
            <w:tcBorders>
              <w:bottom w:val="single" w:sz="8" w:color="0000EE"/>
            </w:tcBorders>
            <w:gridSpan w:val="13"/>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Schedule A-5, dated March 10, 2021, to Fourth Amended and Restated Executive Employment Agreement, dated as of March 20, 2019,</w:t>
              </w:r>
            </w:hyperlink>
          </w:p>
        </w:tc>
      </w:tr>
      <w:tr>
        <w:trPr>
          <w:trHeight w:val="194"/>
        </w:trPr>
        <w:tc>
          <w:tcPr>
            <w:tcW w:w="1080" w:type="dxa"/>
            <w:vAlign w:val="bottom"/>
          </w:tcPr>
          <w:p>
            <w:pPr>
              <w:spacing w:after="0"/>
              <w:rPr>
                <w:sz w:val="16"/>
                <w:szCs w:val="16"/>
                <w:color w:val="auto"/>
              </w:rPr>
            </w:pPr>
          </w:p>
        </w:tc>
        <w:tc>
          <w:tcPr>
            <w:tcW w:w="9720" w:type="dxa"/>
            <w:vAlign w:val="bottom"/>
            <w:gridSpan w:val="13"/>
          </w:tcPr>
          <w:p>
            <w:pPr>
              <w:spacing w:after="0" w:line="194"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between Mastech Digital Technologies, Inc., Mastech Digital, Inc. and Vivek Gupta (incorporated by reference to Exhibit 10.1 to</w:t>
              </w:r>
            </w:hyperlink>
          </w:p>
        </w:tc>
      </w:tr>
      <w:tr>
        <w:trPr>
          <w:trHeight w:val="194"/>
        </w:trPr>
        <w:tc>
          <w:tcPr>
            <w:tcW w:w="1080" w:type="dxa"/>
            <w:vAlign w:val="bottom"/>
          </w:tcPr>
          <w:p>
            <w:pPr>
              <w:spacing w:after="0"/>
              <w:rPr>
                <w:sz w:val="16"/>
                <w:szCs w:val="16"/>
                <w:color w:val="auto"/>
              </w:rPr>
            </w:pPr>
          </w:p>
        </w:tc>
        <w:tc>
          <w:tcPr>
            <w:tcW w:w="9200" w:type="dxa"/>
            <w:vAlign w:val="bottom"/>
            <w:tcBorders>
              <w:top w:val="single" w:sz="8" w:color="0000EE"/>
            </w:tcBorders>
            <w:gridSpan w:val="7"/>
          </w:tcPr>
          <w:p>
            <w:pPr>
              <w:spacing w:after="0" w:line="194"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Mastech Digital, Inc.’s Current Report on Form 8-K, filed with the Securities and Exchange Commission on March 15, 2021).</w:t>
              </w:r>
            </w:hyperlink>
          </w:p>
        </w:tc>
        <w:tc>
          <w:tcPr>
            <w:tcW w:w="520" w:type="dxa"/>
            <w:vAlign w:val="bottom"/>
            <w:gridSpan w:val="6"/>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1"/>
        </w:trPr>
        <w:tc>
          <w:tcPr>
            <w:tcW w:w="1080" w:type="dxa"/>
            <w:vAlign w:val="bottom"/>
          </w:tcPr>
          <w:p>
            <w:pPr>
              <w:jc w:val="right"/>
              <w:ind w:right="591"/>
              <w:spacing w:after="0"/>
              <w:rPr>
                <w:sz w:val="20"/>
                <w:szCs w:val="20"/>
                <w:color w:val="auto"/>
              </w:rPr>
            </w:pPr>
            <w:r>
              <w:rPr>
                <w:rFonts w:ascii="Arial" w:cs="Arial" w:eastAsia="Arial" w:hAnsi="Arial"/>
                <w:sz w:val="18"/>
                <w:szCs w:val="18"/>
                <w:color w:val="auto"/>
              </w:rPr>
              <w:t>10.2</w:t>
            </w:r>
          </w:p>
        </w:tc>
        <w:tc>
          <w:tcPr>
            <w:tcW w:w="9320" w:type="dxa"/>
            <w:vAlign w:val="bottom"/>
            <w:tcBorders>
              <w:bottom w:val="single" w:sz="8" w:color="0000EE"/>
            </w:tcBorders>
            <w:gridSpan w:val="8"/>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Executive Employment Agreement, dated December 12, 2018, between Mastech InfoTrellis Inc. and Paul Burton (incorporated by</w:t>
              </w:r>
            </w:hyperlink>
          </w:p>
        </w:tc>
        <w:tc>
          <w:tcPr>
            <w:tcW w:w="400" w:type="dxa"/>
            <w:vAlign w:val="bottom"/>
            <w:gridSpan w:val="5"/>
          </w:tcPr>
          <w:p>
            <w:pPr>
              <w:spacing w:after="0"/>
              <w:rPr>
                <w:sz w:val="24"/>
                <w:szCs w:val="24"/>
                <w:color w:val="auto"/>
              </w:rPr>
            </w:pPr>
          </w:p>
        </w:tc>
      </w:tr>
      <w:tr>
        <w:trPr>
          <w:trHeight w:val="194"/>
        </w:trPr>
        <w:tc>
          <w:tcPr>
            <w:tcW w:w="1080" w:type="dxa"/>
            <w:vAlign w:val="bottom"/>
          </w:tcPr>
          <w:p>
            <w:pPr>
              <w:spacing w:after="0"/>
              <w:rPr>
                <w:sz w:val="16"/>
                <w:szCs w:val="16"/>
                <w:color w:val="auto"/>
              </w:rPr>
            </w:pPr>
          </w:p>
        </w:tc>
        <w:tc>
          <w:tcPr>
            <w:tcW w:w="9720" w:type="dxa"/>
            <w:vAlign w:val="bottom"/>
            <w:tcBorders>
              <w:bottom w:val="single" w:sz="8" w:color="0000EE"/>
            </w:tcBorders>
            <w:gridSpan w:val="13"/>
          </w:tcPr>
          <w:p>
            <w:pPr>
              <w:spacing w:after="0" w:line="194"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reference to Exhibit 10.2 to Mastech Digital, Inc.’s Current Report on Form 8-K, filed with the Securities and Exchange Commission on</w:t>
              </w:r>
            </w:hyperlink>
          </w:p>
        </w:tc>
      </w:tr>
      <w:tr>
        <w:trPr>
          <w:trHeight w:val="194"/>
        </w:trPr>
        <w:tc>
          <w:tcPr>
            <w:tcW w:w="1080" w:type="dxa"/>
            <w:vAlign w:val="bottom"/>
          </w:tcPr>
          <w:p>
            <w:pPr>
              <w:spacing w:after="0"/>
              <w:rPr>
                <w:sz w:val="16"/>
                <w:szCs w:val="16"/>
                <w:color w:val="auto"/>
              </w:rPr>
            </w:pPr>
          </w:p>
        </w:tc>
        <w:tc>
          <w:tcPr>
            <w:tcW w:w="9720" w:type="dxa"/>
            <w:vAlign w:val="bottom"/>
            <w:gridSpan w:val="13"/>
          </w:tcPr>
          <w:p>
            <w:pPr>
              <w:spacing w:after="0" w:line="194" w:lineRule="exact"/>
              <w:rPr>
                <w:rFonts w:ascii="Arial" w:cs="Arial" w:eastAsia="Arial" w:hAnsi="Arial"/>
                <w:sz w:val="18"/>
                <w:szCs w:val="18"/>
                <w:color w:val="0000EE"/>
              </w:rPr>
            </w:pPr>
            <w:hyperlink r:id="rId50">
              <w:r>
                <w:rPr>
                  <w:rFonts w:ascii="Arial" w:cs="Arial" w:eastAsia="Arial" w:hAnsi="Arial"/>
                  <w:sz w:val="18"/>
                  <w:szCs w:val="18"/>
                  <w:color w:val="0000EE"/>
                </w:rPr>
                <w:t>March 15, 2021).</w:t>
              </w:r>
            </w:hyperlink>
          </w:p>
        </w:tc>
      </w:tr>
      <w:tr>
        <w:trPr>
          <w:trHeight w:val="20"/>
        </w:trPr>
        <w:tc>
          <w:tcPr>
            <w:tcW w:w="10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1"/>
        </w:trPr>
        <w:tc>
          <w:tcPr>
            <w:tcW w:w="1080" w:type="dxa"/>
            <w:vAlign w:val="bottom"/>
          </w:tcPr>
          <w:p>
            <w:pPr>
              <w:jc w:val="right"/>
              <w:ind w:right="591"/>
              <w:spacing w:after="0"/>
              <w:rPr>
                <w:sz w:val="20"/>
                <w:szCs w:val="20"/>
                <w:color w:val="auto"/>
              </w:rPr>
            </w:pPr>
            <w:r>
              <w:rPr>
                <w:rFonts w:ascii="Arial" w:cs="Arial" w:eastAsia="Arial" w:hAnsi="Arial"/>
                <w:sz w:val="18"/>
                <w:szCs w:val="18"/>
                <w:color w:val="auto"/>
              </w:rPr>
              <w:t>10.3</w:t>
            </w:r>
          </w:p>
        </w:tc>
        <w:tc>
          <w:tcPr>
            <w:tcW w:w="9720" w:type="dxa"/>
            <w:vAlign w:val="bottom"/>
            <w:tcBorders>
              <w:bottom w:val="single" w:sz="8" w:color="0000EE"/>
            </w:tcBorders>
            <w:gridSpan w:val="13"/>
          </w:tcPr>
          <w:p>
            <w:pP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Schedule A-10, dated March 20, 2021, to Third Amended and Restated Executive Employment Agreement, dated as of March 20, 2019,</w:t>
              </w:r>
            </w:hyperlink>
          </w:p>
        </w:tc>
      </w:tr>
      <w:tr>
        <w:trPr>
          <w:trHeight w:val="194"/>
        </w:trPr>
        <w:tc>
          <w:tcPr>
            <w:tcW w:w="1080" w:type="dxa"/>
            <w:vAlign w:val="bottom"/>
          </w:tcPr>
          <w:p>
            <w:pPr>
              <w:spacing w:after="0"/>
              <w:rPr>
                <w:sz w:val="16"/>
                <w:szCs w:val="16"/>
                <w:color w:val="auto"/>
              </w:rPr>
            </w:pPr>
          </w:p>
        </w:tc>
        <w:tc>
          <w:tcPr>
            <w:tcW w:w="9600" w:type="dxa"/>
            <w:vAlign w:val="bottom"/>
            <w:tcBorders>
              <w:bottom w:val="single" w:sz="8" w:color="0000EE"/>
            </w:tcBorders>
            <w:gridSpan w:val="12"/>
          </w:tcPr>
          <w:p>
            <w:pPr>
              <w:spacing w:after="0" w:line="194"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between Mastech Digital Technologies, Inc., Mastech Digital, Inc. and John J. Cronin, Jr. (incorporated by reference to Exhibit 10.3 to</w:t>
              </w:r>
            </w:hyperlink>
          </w:p>
        </w:tc>
        <w:tc>
          <w:tcPr>
            <w:tcW w:w="120" w:type="dxa"/>
            <w:vAlign w:val="bottom"/>
          </w:tcPr>
          <w:p>
            <w:pPr>
              <w:spacing w:after="0"/>
              <w:rPr>
                <w:sz w:val="16"/>
                <w:szCs w:val="16"/>
                <w:color w:val="auto"/>
              </w:rPr>
            </w:pPr>
          </w:p>
        </w:tc>
      </w:tr>
      <w:tr>
        <w:trPr>
          <w:trHeight w:val="194"/>
        </w:trPr>
        <w:tc>
          <w:tcPr>
            <w:tcW w:w="1080" w:type="dxa"/>
            <w:vAlign w:val="bottom"/>
          </w:tcPr>
          <w:p>
            <w:pPr>
              <w:spacing w:after="0"/>
              <w:rPr>
                <w:sz w:val="16"/>
                <w:szCs w:val="16"/>
                <w:color w:val="auto"/>
              </w:rPr>
            </w:pPr>
          </w:p>
        </w:tc>
        <w:tc>
          <w:tcPr>
            <w:tcW w:w="9720" w:type="dxa"/>
            <w:vAlign w:val="bottom"/>
            <w:gridSpan w:val="13"/>
          </w:tcPr>
          <w:p>
            <w:pPr>
              <w:spacing w:after="0" w:line="194" w:lineRule="exact"/>
              <w:rPr>
                <w:rFonts w:ascii="Arial" w:cs="Arial" w:eastAsia="Arial" w:hAnsi="Arial"/>
                <w:sz w:val="18"/>
                <w:szCs w:val="18"/>
                <w:color w:val="0000EE"/>
                <w:w w:val="98"/>
              </w:rPr>
            </w:pPr>
            <w:hyperlink r:id="rId51">
              <w:r>
                <w:rPr>
                  <w:rFonts w:ascii="Arial" w:cs="Arial" w:eastAsia="Arial" w:hAnsi="Arial"/>
                  <w:sz w:val="18"/>
                  <w:szCs w:val="18"/>
                  <w:color w:val="0000EE"/>
                  <w:w w:val="98"/>
                </w:rPr>
                <w:t>Mastech Digital, Inc.’s Current Report on Form 8-K, filed with the Securities and Exchange Commission on March 15, 2021).</w:t>
              </w:r>
            </w:hyperlink>
          </w:p>
        </w:tc>
      </w:tr>
      <w:tr>
        <w:trPr>
          <w:trHeight w:val="20"/>
        </w:trPr>
        <w:tc>
          <w:tcPr>
            <w:tcW w:w="1080" w:type="dxa"/>
            <w:vAlign w:val="bottom"/>
          </w:tcPr>
          <w:p>
            <w:pPr>
              <w:spacing w:after="0" w:line="20" w:lineRule="exact"/>
              <w:rPr>
                <w:sz w:val="1"/>
                <w:szCs w:val="1"/>
                <w:color w:val="auto"/>
              </w:rPr>
            </w:pPr>
          </w:p>
        </w:tc>
        <w:tc>
          <w:tcPr>
            <w:tcW w:w="286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1"/>
        </w:trPr>
        <w:tc>
          <w:tcPr>
            <w:tcW w:w="1080" w:type="dxa"/>
            <w:vAlign w:val="bottom"/>
          </w:tcPr>
          <w:p>
            <w:pPr>
              <w:jc w:val="right"/>
              <w:ind w:right="591"/>
              <w:spacing w:after="0"/>
              <w:rPr>
                <w:sz w:val="20"/>
                <w:szCs w:val="20"/>
                <w:color w:val="auto"/>
              </w:rPr>
            </w:pPr>
            <w:r>
              <w:rPr>
                <w:rFonts w:ascii="Arial" w:cs="Arial" w:eastAsia="Arial" w:hAnsi="Arial"/>
                <w:sz w:val="18"/>
                <w:szCs w:val="18"/>
                <w:color w:val="auto"/>
              </w:rPr>
              <w:t>10.4</w:t>
            </w:r>
          </w:p>
        </w:tc>
        <w:tc>
          <w:tcPr>
            <w:tcW w:w="9580" w:type="dxa"/>
            <w:vAlign w:val="bottom"/>
            <w:tcBorders>
              <w:bottom w:val="single" w:sz="8" w:color="0000EE"/>
            </w:tcBorders>
            <w:gridSpan w:val="11"/>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Lease Deed, made and executed on April 1, 2021, by and between Olympia Tech Park (Chennai) Private Limited and InfoTrellis India</w:t>
              </w:r>
            </w:hyperlink>
          </w:p>
        </w:tc>
        <w:tc>
          <w:tcPr>
            <w:tcW w:w="140" w:type="dxa"/>
            <w:vAlign w:val="bottom"/>
            <w:gridSpan w:val="2"/>
          </w:tcPr>
          <w:p>
            <w:pPr>
              <w:spacing w:after="0"/>
              <w:rPr>
                <w:sz w:val="24"/>
                <w:szCs w:val="24"/>
                <w:color w:val="auto"/>
              </w:rPr>
            </w:pPr>
          </w:p>
        </w:tc>
      </w:tr>
      <w:tr>
        <w:trPr>
          <w:trHeight w:val="194"/>
        </w:trPr>
        <w:tc>
          <w:tcPr>
            <w:tcW w:w="1080" w:type="dxa"/>
            <w:vAlign w:val="bottom"/>
          </w:tcPr>
          <w:p>
            <w:pPr>
              <w:spacing w:after="0"/>
              <w:rPr>
                <w:sz w:val="16"/>
                <w:szCs w:val="16"/>
                <w:color w:val="auto"/>
              </w:rPr>
            </w:pPr>
          </w:p>
        </w:tc>
        <w:tc>
          <w:tcPr>
            <w:tcW w:w="9720" w:type="dxa"/>
            <w:vAlign w:val="bottom"/>
            <w:gridSpan w:val="13"/>
          </w:tcPr>
          <w:p>
            <w:pPr>
              <w:spacing w:after="0" w:line="194" w:lineRule="exact"/>
              <w:rPr>
                <w:rFonts w:ascii="Arial" w:cs="Arial" w:eastAsia="Arial" w:hAnsi="Arial"/>
                <w:sz w:val="18"/>
                <w:szCs w:val="18"/>
                <w:color w:val="0000EE"/>
                <w:w w:val="95"/>
              </w:rPr>
            </w:pPr>
            <w:hyperlink r:id="rId52">
              <w:r>
                <w:rPr>
                  <w:rFonts w:ascii="Arial" w:cs="Arial" w:eastAsia="Arial" w:hAnsi="Arial"/>
                  <w:sz w:val="18"/>
                  <w:szCs w:val="18"/>
                  <w:color w:val="0000EE"/>
                  <w:w w:val="95"/>
                </w:rPr>
                <w:t>Private Limited (incorporated by reference to Exhibit 10.4 to Mastech Digital, Inc.’s Quarterly Report on Form 10-Q, filed with the</w:t>
              </w:r>
            </w:hyperlink>
          </w:p>
        </w:tc>
      </w:tr>
      <w:tr>
        <w:trPr>
          <w:trHeight w:val="194"/>
        </w:trPr>
        <w:tc>
          <w:tcPr>
            <w:tcW w:w="1080" w:type="dxa"/>
            <w:vAlign w:val="bottom"/>
          </w:tcPr>
          <w:p>
            <w:pPr>
              <w:spacing w:after="0"/>
              <w:rPr>
                <w:sz w:val="16"/>
                <w:szCs w:val="16"/>
                <w:color w:val="auto"/>
              </w:rPr>
            </w:pPr>
          </w:p>
        </w:tc>
        <w:tc>
          <w:tcPr>
            <w:tcW w:w="398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Securities and Exchange Commission on May 7, 2021).</w:t>
              </w:r>
            </w:hyperlink>
          </w:p>
        </w:tc>
        <w:tc>
          <w:tcPr>
            <w:tcW w:w="5380" w:type="dxa"/>
            <w:vAlign w:val="bottom"/>
            <w:tcBorders>
              <w:top w:val="single" w:sz="8" w:color="0000EE"/>
            </w:tcBorders>
            <w:gridSpan w:val="6"/>
          </w:tcPr>
          <w:p>
            <w:pPr>
              <w:spacing w:after="0"/>
              <w:rPr>
                <w:sz w:val="16"/>
                <w:szCs w:val="16"/>
                <w:color w:val="auto"/>
              </w:rPr>
            </w:pPr>
          </w:p>
        </w:tc>
        <w:tc>
          <w:tcPr>
            <w:tcW w:w="360" w:type="dxa"/>
            <w:vAlign w:val="bottom"/>
            <w:gridSpan w:val="4"/>
          </w:tcPr>
          <w:p>
            <w:pPr>
              <w:spacing w:after="0"/>
              <w:rPr>
                <w:sz w:val="16"/>
                <w:szCs w:val="16"/>
                <w:color w:val="auto"/>
              </w:rPr>
            </w:pPr>
          </w:p>
        </w:tc>
      </w:tr>
      <w:tr>
        <w:trPr>
          <w:trHeight w:val="301"/>
        </w:trPr>
        <w:tc>
          <w:tcPr>
            <w:tcW w:w="1080" w:type="dxa"/>
            <w:vAlign w:val="bottom"/>
          </w:tcPr>
          <w:p>
            <w:pPr>
              <w:jc w:val="right"/>
              <w:ind w:right="591"/>
              <w:spacing w:after="0"/>
              <w:rPr>
                <w:sz w:val="20"/>
                <w:szCs w:val="20"/>
                <w:color w:val="auto"/>
              </w:rPr>
            </w:pPr>
            <w:r>
              <w:rPr>
                <w:rFonts w:ascii="Arial" w:cs="Arial" w:eastAsia="Arial" w:hAnsi="Arial"/>
                <w:sz w:val="18"/>
                <w:szCs w:val="18"/>
                <w:color w:val="auto"/>
              </w:rPr>
              <w:t>31.1</w:t>
            </w:r>
          </w:p>
        </w:tc>
        <w:tc>
          <w:tcPr>
            <w:tcW w:w="86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pursuant to Section 302 of the Sarbanes-Oxley Act of 2002 by the Chief Executive Officer is filed herewith.</w:t>
              </w:r>
            </w:hyperlink>
          </w:p>
        </w:tc>
        <w:tc>
          <w:tcPr>
            <w:tcW w:w="1060" w:type="dxa"/>
            <w:vAlign w:val="bottom"/>
            <w:gridSpan w:val="8"/>
          </w:tcPr>
          <w:p>
            <w:pPr>
              <w:spacing w:after="0"/>
              <w:rPr>
                <w:sz w:val="24"/>
                <w:szCs w:val="24"/>
                <w:color w:val="auto"/>
              </w:rPr>
            </w:pPr>
          </w:p>
        </w:tc>
      </w:tr>
      <w:tr>
        <w:trPr>
          <w:trHeight w:val="301"/>
        </w:trPr>
        <w:tc>
          <w:tcPr>
            <w:tcW w:w="1080" w:type="dxa"/>
            <w:vAlign w:val="bottom"/>
          </w:tcPr>
          <w:p>
            <w:pPr>
              <w:jc w:val="right"/>
              <w:ind w:right="591"/>
              <w:spacing w:after="0"/>
              <w:rPr>
                <w:sz w:val="20"/>
                <w:szCs w:val="20"/>
                <w:color w:val="auto"/>
              </w:rPr>
            </w:pPr>
            <w:r>
              <w:rPr>
                <w:rFonts w:ascii="Arial" w:cs="Arial" w:eastAsia="Arial" w:hAnsi="Arial"/>
                <w:sz w:val="18"/>
                <w:szCs w:val="18"/>
                <w:color w:val="auto"/>
              </w:rPr>
              <w:t>31.2</w:t>
            </w:r>
          </w:p>
        </w:tc>
        <w:tc>
          <w:tcPr>
            <w:tcW w:w="972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pursuant to Section 302 of the Sarbanes-Oxley Act of 2002 by the Chief Financial Officer is filed herewith.</w:t>
              </w:r>
            </w:hyperlink>
          </w:p>
        </w:tc>
      </w:tr>
      <w:tr>
        <w:trPr>
          <w:trHeight w:val="20"/>
        </w:trPr>
        <w:tc>
          <w:tcPr>
            <w:tcW w:w="1080" w:type="dxa"/>
            <w:vAlign w:val="bottom"/>
          </w:tcPr>
          <w:p>
            <w:pPr>
              <w:spacing w:after="0" w:line="20" w:lineRule="exact"/>
              <w:rPr>
                <w:sz w:val="1"/>
                <w:szCs w:val="1"/>
                <w:color w:val="auto"/>
              </w:rPr>
            </w:pPr>
          </w:p>
        </w:tc>
        <w:tc>
          <w:tcPr>
            <w:tcW w:w="2860" w:type="dxa"/>
            <w:vAlign w:val="bottom"/>
            <w:tcBorders>
              <w:right w:val="single" w:sz="8" w:color="0000EE"/>
            </w:tcBorders>
            <w:gridSpan w:val="2"/>
            <w:shd w:val="clear" w:color="auto" w:fill="0000EE"/>
          </w:tcPr>
          <w:p>
            <w:pPr>
              <w:spacing w:after="0" w:line="20" w:lineRule="exact"/>
              <w:rPr>
                <w:sz w:val="1"/>
                <w:szCs w:val="1"/>
                <w:color w:val="auto"/>
              </w:rPr>
            </w:pPr>
          </w:p>
        </w:tc>
        <w:tc>
          <w:tcPr>
            <w:tcW w:w="5740" w:type="dxa"/>
            <w:vAlign w:val="bottom"/>
            <w:gridSpan w:val="2"/>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01"/>
        </w:trPr>
        <w:tc>
          <w:tcPr>
            <w:tcW w:w="1080" w:type="dxa"/>
            <w:vAlign w:val="bottom"/>
          </w:tcPr>
          <w:p>
            <w:pPr>
              <w:jc w:val="right"/>
              <w:ind w:right="591"/>
              <w:spacing w:after="0"/>
              <w:rPr>
                <w:sz w:val="20"/>
                <w:szCs w:val="20"/>
                <w:color w:val="auto"/>
              </w:rPr>
            </w:pPr>
            <w:r>
              <w:rPr>
                <w:rFonts w:ascii="Arial" w:cs="Arial" w:eastAsia="Arial" w:hAnsi="Arial"/>
                <w:sz w:val="18"/>
                <w:szCs w:val="18"/>
                <w:color w:val="auto"/>
              </w:rPr>
              <w:t>32.1</w:t>
            </w:r>
          </w:p>
        </w:tc>
        <w:tc>
          <w:tcPr>
            <w:tcW w:w="95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Certification pursuant to 18 U.S.C. Section 1350, as adopted pursuant to Section 906 of the Sarbanes-Oxley Act of 2002, by the Chief</w:t>
              </w:r>
            </w:hyperlink>
          </w:p>
        </w:tc>
        <w:tc>
          <w:tcPr>
            <w:tcW w:w="160" w:type="dxa"/>
            <w:vAlign w:val="bottom"/>
            <w:gridSpan w:val="3"/>
          </w:tcPr>
          <w:p>
            <w:pPr>
              <w:spacing w:after="0"/>
              <w:rPr>
                <w:sz w:val="24"/>
                <w:szCs w:val="24"/>
                <w:color w:val="auto"/>
              </w:rPr>
            </w:pPr>
          </w:p>
        </w:tc>
      </w:tr>
      <w:tr>
        <w:trPr>
          <w:trHeight w:val="194"/>
        </w:trPr>
        <w:tc>
          <w:tcPr>
            <w:tcW w:w="1080" w:type="dxa"/>
            <w:vAlign w:val="bottom"/>
          </w:tcPr>
          <w:p>
            <w:pPr>
              <w:spacing w:after="0"/>
              <w:rPr>
                <w:sz w:val="16"/>
                <w:szCs w:val="16"/>
                <w:color w:val="auto"/>
              </w:rPr>
            </w:pPr>
          </w:p>
        </w:tc>
        <w:tc>
          <w:tcPr>
            <w:tcW w:w="9720" w:type="dxa"/>
            <w:vAlign w:val="bottom"/>
            <w:gridSpan w:val="13"/>
          </w:tcPr>
          <w:p>
            <w:pPr>
              <w:spacing w:after="0" w:line="194" w:lineRule="exact"/>
              <w:rPr>
                <w:rFonts w:ascii="Arial" w:cs="Arial" w:eastAsia="Arial" w:hAnsi="Arial"/>
                <w:sz w:val="18"/>
                <w:szCs w:val="18"/>
                <w:color w:val="0000EE"/>
              </w:rPr>
            </w:pPr>
            <w:hyperlink w:anchor="page36">
              <w:r>
                <w:rPr>
                  <w:rFonts w:ascii="Arial" w:cs="Arial" w:eastAsia="Arial" w:hAnsi="Arial"/>
                  <w:sz w:val="18"/>
                  <w:szCs w:val="18"/>
                  <w:color w:val="0000EE"/>
                </w:rPr>
                <w:t>Executive Officer is furnished herewith.</w:t>
              </w:r>
            </w:hyperlink>
          </w:p>
        </w:tc>
      </w:tr>
      <w:tr>
        <w:trPr>
          <w:trHeight w:val="20"/>
        </w:trPr>
        <w:tc>
          <w:tcPr>
            <w:tcW w:w="1080" w:type="dxa"/>
            <w:vAlign w:val="bottom"/>
          </w:tcPr>
          <w:p>
            <w:pPr>
              <w:spacing w:after="0" w:line="20" w:lineRule="exact"/>
              <w:rPr>
                <w:sz w:val="1"/>
                <w:szCs w:val="1"/>
                <w:color w:val="auto"/>
              </w:rPr>
            </w:pPr>
          </w:p>
        </w:tc>
        <w:tc>
          <w:tcPr>
            <w:tcW w:w="2860" w:type="dxa"/>
            <w:vAlign w:val="bottom"/>
            <w:tcBorders>
              <w:right w:val="single" w:sz="8" w:color="0000EE"/>
            </w:tcBorders>
            <w:gridSpan w:val="2"/>
            <w:shd w:val="clear" w:color="auto" w:fill="0000EE"/>
          </w:tcPr>
          <w:p>
            <w:pPr>
              <w:spacing w:after="0" w:line="20" w:lineRule="exact"/>
              <w:rPr>
                <w:sz w:val="1"/>
                <w:szCs w:val="1"/>
                <w:color w:val="auto"/>
              </w:rPr>
            </w:pPr>
          </w:p>
        </w:tc>
        <w:tc>
          <w:tcPr>
            <w:tcW w:w="6860" w:type="dxa"/>
            <w:vAlign w:val="bottom"/>
            <w:gridSpan w:val="11"/>
          </w:tcPr>
          <w:p>
            <w:pPr>
              <w:spacing w:after="0" w:line="20" w:lineRule="exact"/>
              <w:rPr>
                <w:sz w:val="1"/>
                <w:szCs w:val="1"/>
                <w:color w:val="auto"/>
              </w:rPr>
            </w:pPr>
          </w:p>
        </w:tc>
      </w:tr>
      <w:tr>
        <w:trPr>
          <w:trHeight w:val="301"/>
        </w:trPr>
        <w:tc>
          <w:tcPr>
            <w:tcW w:w="1080" w:type="dxa"/>
            <w:vAlign w:val="bottom"/>
          </w:tcPr>
          <w:p>
            <w:pPr>
              <w:jc w:val="right"/>
              <w:ind w:right="591"/>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Certification pursuant to 18 U.S.C. Section 1350, as adopted pursuant to Section 906 of the Sarbanes-Oxley Act of 2002, by the Chief</w:t>
              </w:r>
            </w:hyperlink>
          </w:p>
        </w:tc>
        <w:tc>
          <w:tcPr>
            <w:tcW w:w="160" w:type="dxa"/>
            <w:vAlign w:val="bottom"/>
            <w:gridSpan w:val="3"/>
          </w:tcPr>
          <w:p>
            <w:pPr>
              <w:spacing w:after="0"/>
              <w:rPr>
                <w:sz w:val="24"/>
                <w:szCs w:val="24"/>
                <w:color w:val="auto"/>
              </w:rPr>
            </w:pPr>
          </w:p>
        </w:tc>
      </w:tr>
      <w:tr>
        <w:trPr>
          <w:trHeight w:val="194"/>
        </w:trPr>
        <w:tc>
          <w:tcPr>
            <w:tcW w:w="1080" w:type="dxa"/>
            <w:vAlign w:val="bottom"/>
          </w:tcPr>
          <w:p>
            <w:pPr>
              <w:spacing w:after="0"/>
              <w:rPr>
                <w:sz w:val="16"/>
                <w:szCs w:val="16"/>
                <w:color w:val="auto"/>
              </w:rPr>
            </w:pPr>
          </w:p>
        </w:tc>
        <w:tc>
          <w:tcPr>
            <w:tcW w:w="2860" w:type="dxa"/>
            <w:vAlign w:val="bottom"/>
            <w:tcBorders>
              <w:bottom w:val="single" w:sz="8" w:color="0000EE"/>
            </w:tcBorders>
            <w:gridSpan w:val="2"/>
          </w:tcPr>
          <w:p>
            <w:pPr>
              <w:spacing w:after="0" w:line="194"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Financial Officer is furnished herewith.</w:t>
              </w:r>
            </w:hyperlink>
          </w:p>
        </w:tc>
        <w:tc>
          <w:tcPr>
            <w:tcW w:w="6860" w:type="dxa"/>
            <w:vAlign w:val="bottom"/>
            <w:gridSpan w:val="11"/>
          </w:tcPr>
          <w:p>
            <w:pPr>
              <w:spacing w:after="0"/>
              <w:rPr>
                <w:sz w:val="16"/>
                <w:szCs w:val="16"/>
                <w:color w:val="auto"/>
              </w:rPr>
            </w:pPr>
          </w:p>
        </w:tc>
      </w:tr>
      <w:tr>
        <w:trPr>
          <w:trHeight w:val="339"/>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321"/>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1"/>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1"/>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1"/>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1"/>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1"/>
        </w:trPr>
        <w:tc>
          <w:tcPr>
            <w:tcW w:w="1080" w:type="dxa"/>
            <w:vAlign w:val="bottom"/>
          </w:tcPr>
          <w:p>
            <w:pPr>
              <w:spacing w:after="0"/>
              <w:rPr>
                <w:sz w:val="24"/>
                <w:szCs w:val="24"/>
                <w:color w:val="auto"/>
              </w:rPr>
            </w:pPr>
          </w:p>
        </w:tc>
        <w:tc>
          <w:tcPr>
            <w:tcW w:w="8600" w:type="dxa"/>
            <w:vAlign w:val="bottom"/>
            <w:gridSpan w:val="4"/>
          </w:tcPr>
          <w:p>
            <w:pPr>
              <w:ind w:left="428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80"/>
          </w:cols>
          <w:pgMar w:left="320" w:top="482" w:right="5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left="180" w:right="40" w:firstLine="436"/>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6th day of August, 2021.</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10900" w:type="dxa"/>
            <w:vAlign w:val="bottom"/>
            <w:gridSpan w:val="3"/>
          </w:tcPr>
          <w:p>
            <w:pPr>
              <w:ind w:left="5780"/>
              <w:spacing w:after="0"/>
              <w:rPr>
                <w:sz w:val="20"/>
                <w:szCs w:val="20"/>
                <w:color w:val="auto"/>
              </w:rPr>
            </w:pPr>
            <w:r>
              <w:rPr>
                <w:rFonts w:ascii="Arial" w:cs="Arial" w:eastAsia="Arial" w:hAnsi="Arial"/>
                <w:sz w:val="18"/>
                <w:szCs w:val="18"/>
                <w:color w:val="auto"/>
              </w:rPr>
              <w:t>MASTECH DIGITAL, INC.</w:t>
            </w:r>
          </w:p>
        </w:tc>
      </w:tr>
      <w:tr>
        <w:trPr>
          <w:trHeight w:val="428"/>
        </w:trPr>
        <w:tc>
          <w:tcPr>
            <w:tcW w:w="7360" w:type="dxa"/>
            <w:vAlign w:val="bottom"/>
            <w:gridSpan w:val="2"/>
          </w:tcPr>
          <w:p>
            <w:pPr>
              <w:spacing w:after="0"/>
              <w:rPr>
                <w:sz w:val="20"/>
                <w:szCs w:val="20"/>
                <w:color w:val="auto"/>
              </w:rPr>
            </w:pPr>
            <w:r>
              <w:rPr>
                <w:rFonts w:ascii="Arial" w:cs="Arial" w:eastAsia="Arial" w:hAnsi="Arial"/>
                <w:sz w:val="18"/>
                <w:szCs w:val="18"/>
                <w:color w:val="auto"/>
              </w:rPr>
              <w:t>August 6, 2021</w:t>
            </w:r>
          </w:p>
        </w:tc>
        <w:tc>
          <w:tcPr>
            <w:tcW w:w="3540" w:type="dxa"/>
            <w:vAlign w:val="bottom"/>
          </w:tcPr>
          <w:p>
            <w:pPr>
              <w:ind w:left="40"/>
              <w:spacing w:after="0"/>
              <w:rPr>
                <w:sz w:val="20"/>
                <w:szCs w:val="20"/>
                <w:color w:val="auto"/>
              </w:rPr>
            </w:pPr>
            <w:r>
              <w:rPr>
                <w:rFonts w:ascii="Arial" w:cs="Arial" w:eastAsia="Arial" w:hAnsi="Arial"/>
                <w:sz w:val="18"/>
                <w:szCs w:val="18"/>
                <w:color w:val="auto"/>
              </w:rPr>
              <w:t>/s/  VIVEK GUPTA</w:t>
            </w:r>
          </w:p>
        </w:tc>
      </w:tr>
      <w:tr>
        <w:trPr>
          <w:trHeight w:val="203"/>
        </w:trPr>
        <w:tc>
          <w:tcPr>
            <w:tcW w:w="57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491"/>
              <w:spacing w:after="0" w:line="203" w:lineRule="exact"/>
              <w:rPr>
                <w:sz w:val="20"/>
                <w:szCs w:val="20"/>
                <w:color w:val="auto"/>
              </w:rPr>
            </w:pPr>
            <w:r>
              <w:rPr>
                <w:rFonts w:ascii="Arial" w:cs="Arial" w:eastAsia="Arial" w:hAnsi="Arial"/>
                <w:sz w:val="18"/>
                <w:szCs w:val="18"/>
                <w:b w:val="1"/>
                <w:bCs w:val="1"/>
                <w:color w:val="auto"/>
                <w:w w:val="92"/>
              </w:rPr>
              <w:t>Vivek Gupta</w:t>
            </w:r>
          </w:p>
        </w:tc>
      </w:tr>
      <w:tr>
        <w:trPr>
          <w:trHeight w:val="231"/>
        </w:trPr>
        <w:tc>
          <w:tcPr>
            <w:tcW w:w="5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540" w:type="dxa"/>
            <w:vAlign w:val="bottom"/>
          </w:tcPr>
          <w:p>
            <w:pPr>
              <w:jc w:val="center"/>
              <w:ind w:right="1491"/>
              <w:spacing w:after="0"/>
              <w:rPr>
                <w:sz w:val="20"/>
                <w:szCs w:val="20"/>
                <w:color w:val="auto"/>
              </w:rPr>
            </w:pPr>
            <w:r>
              <w:rPr>
                <w:rFonts w:ascii="Arial" w:cs="Arial" w:eastAsia="Arial" w:hAnsi="Arial"/>
                <w:sz w:val="18"/>
                <w:szCs w:val="18"/>
                <w:b w:val="1"/>
                <w:bCs w:val="1"/>
                <w:color w:val="auto"/>
                <w:w w:val="91"/>
              </w:rPr>
              <w:t>Chief Executive Officer</w:t>
            </w:r>
          </w:p>
        </w:tc>
      </w:tr>
      <w:tr>
        <w:trPr>
          <w:trHeight w:val="441"/>
        </w:trPr>
        <w:tc>
          <w:tcPr>
            <w:tcW w:w="5780" w:type="dxa"/>
            <w:vAlign w:val="bottom"/>
          </w:tcPr>
          <w:p>
            <w:pPr>
              <w:spacing w:after="0"/>
              <w:rPr>
                <w:sz w:val="24"/>
                <w:szCs w:val="24"/>
                <w:color w:val="auto"/>
              </w:rPr>
            </w:pPr>
          </w:p>
        </w:tc>
        <w:tc>
          <w:tcPr>
            <w:tcW w:w="1580" w:type="dxa"/>
            <w:vAlign w:val="bottom"/>
          </w:tcPr>
          <w:p>
            <w:pPr>
              <w:ind w:left="1380"/>
              <w:spacing w:after="0"/>
              <w:rPr>
                <w:sz w:val="20"/>
                <w:szCs w:val="20"/>
                <w:color w:val="auto"/>
              </w:rPr>
            </w:pPr>
            <w:r>
              <w:rPr>
                <w:rFonts w:ascii="Arial" w:cs="Arial" w:eastAsia="Arial" w:hAnsi="Arial"/>
                <w:sz w:val="18"/>
                <w:szCs w:val="18"/>
                <w:color w:val="auto"/>
                <w:w w:val="94"/>
              </w:rPr>
              <w:t>/s/</w:t>
            </w:r>
          </w:p>
        </w:tc>
        <w:tc>
          <w:tcPr>
            <w:tcW w:w="3540" w:type="dxa"/>
            <w:vAlign w:val="bottom"/>
          </w:tcPr>
          <w:p>
            <w:pPr>
              <w:jc w:val="center"/>
              <w:ind w:right="1511"/>
              <w:spacing w:after="0"/>
              <w:rPr>
                <w:sz w:val="20"/>
                <w:szCs w:val="20"/>
                <w:color w:val="auto"/>
              </w:rPr>
            </w:pPr>
            <w:r>
              <w:rPr>
                <w:rFonts w:ascii="Arial" w:cs="Arial" w:eastAsia="Arial" w:hAnsi="Arial"/>
                <w:sz w:val="18"/>
                <w:szCs w:val="18"/>
                <w:color w:val="auto"/>
                <w:w w:val="91"/>
              </w:rPr>
              <w:t>JOHN J. CRONIN,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635</wp:posOffset>
            </wp:positionV>
            <wp:extent cx="32486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8"/>
          <w:szCs w:val="18"/>
          <w:b w:val="1"/>
          <w:bCs w:val="1"/>
          <w:color w:val="auto"/>
        </w:rPr>
        <w:t>John J. Cronin, Jr.</w:t>
      </w:r>
    </w:p>
    <w:p>
      <w:pPr>
        <w:spacing w:after="0" w:line="24"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(Principal Financial Officer)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82" w:right="4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ind w:left="1686"/>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Executive Officer</w:t>
      </w:r>
    </w:p>
    <w:p>
      <w:pPr>
        <w:spacing w:after="0" w:line="224" w:lineRule="exact"/>
        <w:rPr>
          <w:sz w:val="20"/>
          <w:szCs w:val="20"/>
          <w:color w:val="auto"/>
        </w:rPr>
      </w:pPr>
    </w:p>
    <w:p>
      <w:pPr>
        <w:ind w:left="6"/>
        <w:spacing w:after="0"/>
        <w:rPr>
          <w:sz w:val="20"/>
          <w:szCs w:val="20"/>
          <w:color w:val="auto"/>
        </w:rPr>
      </w:pPr>
      <w:r>
        <w:rPr>
          <w:rFonts w:ascii="Arial" w:cs="Arial" w:eastAsia="Arial" w:hAnsi="Arial"/>
          <w:sz w:val="18"/>
          <w:szCs w:val="18"/>
          <w:color w:val="auto"/>
        </w:rPr>
        <w:t>I, Vivek Gupta, certify that:</w:t>
      </w:r>
    </w:p>
    <w:p>
      <w:pPr>
        <w:spacing w:after="0" w:line="127" w:lineRule="exact"/>
        <w:rPr>
          <w:sz w:val="20"/>
          <w:szCs w:val="20"/>
          <w:color w:val="auto"/>
        </w:rPr>
      </w:pPr>
    </w:p>
    <w:p>
      <w:pPr>
        <w:ind w:left="426" w:hanging="426"/>
        <w:spacing w:after="0"/>
        <w:tabs>
          <w:tab w:leader="none" w:pos="4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26" w:lineRule="exact"/>
        <w:rPr>
          <w:rFonts w:ascii="Arial" w:cs="Arial" w:eastAsia="Arial" w:hAnsi="Arial"/>
          <w:sz w:val="18"/>
          <w:szCs w:val="18"/>
          <w:color w:val="auto"/>
        </w:rPr>
      </w:pPr>
    </w:p>
    <w:p>
      <w:pPr>
        <w:jc w:val="both"/>
        <w:ind w:left="426" w:right="120" w:hanging="426"/>
        <w:spacing w:after="0" w:line="259" w:lineRule="auto"/>
        <w:tabs>
          <w:tab w:leader="none" w:pos="4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8"/>
          <w:szCs w:val="18"/>
          <w:color w:val="auto"/>
        </w:rPr>
      </w:pPr>
    </w:p>
    <w:p>
      <w:pPr>
        <w:ind w:left="426" w:right="80" w:hanging="426"/>
        <w:spacing w:after="0" w:line="300" w:lineRule="auto"/>
        <w:tabs>
          <w:tab w:leader="none" w:pos="4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7"/>
          <w:szCs w:val="17"/>
          <w:color w:val="auto"/>
        </w:rPr>
      </w:pPr>
    </w:p>
    <w:p>
      <w:pPr>
        <w:ind w:left="426" w:right="320" w:hanging="426"/>
        <w:spacing w:after="0" w:line="259" w:lineRule="auto"/>
        <w:tabs>
          <w:tab w:leader="none" w:pos="4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Arial" w:cs="Arial" w:eastAsia="Arial" w:hAnsi="Arial"/>
          <w:sz w:val="18"/>
          <w:szCs w:val="18"/>
          <w:color w:val="auto"/>
        </w:rPr>
      </w:pPr>
    </w:p>
    <w:p>
      <w:pPr>
        <w:ind w:left="966" w:right="20" w:hanging="539"/>
        <w:spacing w:after="0" w:line="259" w:lineRule="auto"/>
        <w:tabs>
          <w:tab w:leader="none" w:pos="9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8"/>
          <w:szCs w:val="18"/>
          <w:color w:val="auto"/>
        </w:rPr>
      </w:pPr>
    </w:p>
    <w:p>
      <w:pPr>
        <w:ind w:left="966" w:right="160" w:hanging="539"/>
        <w:spacing w:after="0" w:line="259" w:lineRule="auto"/>
        <w:tabs>
          <w:tab w:leader="none" w:pos="9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8"/>
          <w:szCs w:val="18"/>
          <w:color w:val="auto"/>
        </w:rPr>
      </w:pPr>
    </w:p>
    <w:p>
      <w:pPr>
        <w:jc w:val="both"/>
        <w:ind w:left="966" w:right="320" w:hanging="539"/>
        <w:spacing w:after="0" w:line="408" w:lineRule="auto"/>
        <w:tabs>
          <w:tab w:leader="none" w:pos="966" w:val="left"/>
        </w:tabs>
        <w:numPr>
          <w:ilvl w:val="1"/>
          <w:numId w:val="2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6" w:right="60" w:hanging="539"/>
        <w:spacing w:after="0" w:line="259" w:lineRule="auto"/>
        <w:tabs>
          <w:tab w:leader="none" w:pos="9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91" w:lineRule="exact"/>
        <w:rPr>
          <w:rFonts w:ascii="Arial" w:cs="Arial" w:eastAsia="Arial" w:hAnsi="Arial"/>
          <w:sz w:val="18"/>
          <w:szCs w:val="18"/>
          <w:color w:val="auto"/>
        </w:rPr>
      </w:pPr>
    </w:p>
    <w:p>
      <w:pPr>
        <w:ind w:left="426" w:right="20" w:hanging="426"/>
        <w:spacing w:after="0" w:line="300" w:lineRule="auto"/>
        <w:tabs>
          <w:tab w:leader="none" w:pos="4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966" w:right="560" w:hanging="539"/>
        <w:spacing w:after="0" w:line="334" w:lineRule="auto"/>
        <w:tabs>
          <w:tab w:leader="none" w:pos="966"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6"/>
          <w:szCs w:val="16"/>
          <w:color w:val="auto"/>
        </w:rPr>
      </w:pPr>
    </w:p>
    <w:p>
      <w:pPr>
        <w:ind w:left="966" w:right="260" w:hanging="539"/>
        <w:spacing w:after="0" w:line="270" w:lineRule="auto"/>
        <w:tabs>
          <w:tab w:leader="none" w:pos="9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886"/>
        <w:spacing w:after="0"/>
        <w:rPr>
          <w:sz w:val="20"/>
          <w:szCs w:val="20"/>
          <w:color w:val="auto"/>
        </w:rPr>
      </w:pPr>
      <w:r>
        <w:rPr>
          <w:rFonts w:ascii="Arial" w:cs="Arial" w:eastAsia="Arial" w:hAnsi="Arial"/>
          <w:sz w:val="18"/>
          <w:szCs w:val="18"/>
          <w:color w:val="auto"/>
        </w:rPr>
        <w:t>MASTECH DIGITAL, INC.</w:t>
      </w:r>
    </w:p>
    <w:p>
      <w:pPr>
        <w:spacing w:after="0" w:line="220" w:lineRule="exact"/>
        <w:rPr>
          <w:sz w:val="20"/>
          <w:szCs w:val="20"/>
          <w:color w:val="auto"/>
        </w:rPr>
      </w:pPr>
    </w:p>
    <w:p>
      <w:pPr>
        <w:ind w:left="6"/>
        <w:spacing w:after="0"/>
        <w:tabs>
          <w:tab w:leader="none" w:pos="5866"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13335</wp:posOffset>
            </wp:positionV>
            <wp:extent cx="31807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9" w:lineRule="exact"/>
        <w:rPr>
          <w:sz w:val="20"/>
          <w:szCs w:val="20"/>
          <w:color w:val="auto"/>
        </w:rPr>
      </w:pPr>
    </w:p>
    <w:p>
      <w:pPr>
        <w:ind w:left="5886"/>
        <w:spacing w:after="0"/>
        <w:rPr>
          <w:sz w:val="20"/>
          <w:szCs w:val="20"/>
          <w:color w:val="auto"/>
        </w:rPr>
      </w:pPr>
      <w:r>
        <w:rPr>
          <w:rFonts w:ascii="Arial" w:cs="Arial" w:eastAsia="Arial" w:hAnsi="Arial"/>
          <w:sz w:val="18"/>
          <w:szCs w:val="18"/>
          <w:b w:val="1"/>
          <w:bCs w:val="1"/>
          <w:color w:val="auto"/>
        </w:rPr>
        <w:t>Vivek Gupta</w:t>
      </w:r>
    </w:p>
    <w:p>
      <w:pPr>
        <w:spacing w:after="0" w:line="24" w:lineRule="exact"/>
        <w:rPr>
          <w:sz w:val="20"/>
          <w:szCs w:val="20"/>
          <w:color w:val="auto"/>
        </w:rPr>
      </w:pPr>
    </w:p>
    <w:p>
      <w:pPr>
        <w:ind w:left="5886"/>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0906"/>
          </w:cols>
          <w:pgMar w:left="494" w:top="121" w:right="4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ind w:left="1706"/>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Financial Officer</w:t>
      </w:r>
    </w:p>
    <w:p>
      <w:pPr>
        <w:spacing w:after="0" w:line="224" w:lineRule="exact"/>
        <w:rPr>
          <w:sz w:val="20"/>
          <w:szCs w:val="20"/>
          <w:color w:val="auto"/>
        </w:rPr>
      </w:pPr>
    </w:p>
    <w:p>
      <w:pPr>
        <w:ind w:left="6"/>
        <w:spacing w:after="0"/>
        <w:rPr>
          <w:sz w:val="20"/>
          <w:szCs w:val="20"/>
          <w:color w:val="auto"/>
        </w:rPr>
      </w:pPr>
      <w:r>
        <w:rPr>
          <w:rFonts w:ascii="Arial" w:cs="Arial" w:eastAsia="Arial" w:hAnsi="Arial"/>
          <w:sz w:val="18"/>
          <w:szCs w:val="18"/>
          <w:color w:val="auto"/>
        </w:rPr>
        <w:t>I, John J. Cronin, Jr., certify that:</w:t>
      </w:r>
    </w:p>
    <w:p>
      <w:pPr>
        <w:spacing w:after="0" w:line="127" w:lineRule="exact"/>
        <w:rPr>
          <w:sz w:val="20"/>
          <w:szCs w:val="20"/>
          <w:color w:val="auto"/>
        </w:rPr>
      </w:pPr>
    </w:p>
    <w:p>
      <w:pPr>
        <w:ind w:left="426" w:hanging="426"/>
        <w:spacing w:after="0"/>
        <w:tabs>
          <w:tab w:leader="none" w:pos="4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26" w:lineRule="exact"/>
        <w:rPr>
          <w:rFonts w:ascii="Arial" w:cs="Arial" w:eastAsia="Arial" w:hAnsi="Arial"/>
          <w:sz w:val="18"/>
          <w:szCs w:val="18"/>
          <w:color w:val="auto"/>
        </w:rPr>
      </w:pPr>
    </w:p>
    <w:p>
      <w:pPr>
        <w:jc w:val="both"/>
        <w:ind w:left="426" w:right="120" w:hanging="426"/>
        <w:spacing w:after="0" w:line="259" w:lineRule="auto"/>
        <w:tabs>
          <w:tab w:leader="none" w:pos="4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8"/>
          <w:szCs w:val="18"/>
          <w:color w:val="auto"/>
        </w:rPr>
      </w:pPr>
    </w:p>
    <w:p>
      <w:pPr>
        <w:ind w:left="426" w:right="80" w:hanging="426"/>
        <w:spacing w:after="0" w:line="300" w:lineRule="auto"/>
        <w:tabs>
          <w:tab w:leader="none" w:pos="426"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7"/>
          <w:szCs w:val="17"/>
          <w:color w:val="auto"/>
        </w:rPr>
      </w:pPr>
    </w:p>
    <w:p>
      <w:pPr>
        <w:ind w:left="426" w:right="320" w:hanging="426"/>
        <w:spacing w:after="0" w:line="259" w:lineRule="auto"/>
        <w:tabs>
          <w:tab w:leader="none" w:pos="4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Arial" w:cs="Arial" w:eastAsia="Arial" w:hAnsi="Arial"/>
          <w:sz w:val="18"/>
          <w:szCs w:val="18"/>
          <w:color w:val="auto"/>
        </w:rPr>
      </w:pPr>
    </w:p>
    <w:p>
      <w:pPr>
        <w:ind w:left="966" w:right="20" w:hanging="539"/>
        <w:spacing w:after="0" w:line="259" w:lineRule="auto"/>
        <w:tabs>
          <w:tab w:leader="none" w:pos="96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8"/>
          <w:szCs w:val="18"/>
          <w:color w:val="auto"/>
        </w:rPr>
      </w:pPr>
    </w:p>
    <w:p>
      <w:pPr>
        <w:ind w:left="966" w:right="160" w:hanging="539"/>
        <w:spacing w:after="0" w:line="259" w:lineRule="auto"/>
        <w:tabs>
          <w:tab w:leader="none" w:pos="96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8"/>
          <w:szCs w:val="18"/>
          <w:color w:val="auto"/>
        </w:rPr>
      </w:pPr>
    </w:p>
    <w:p>
      <w:pPr>
        <w:jc w:val="both"/>
        <w:ind w:left="966" w:right="320" w:hanging="539"/>
        <w:spacing w:after="0" w:line="408" w:lineRule="auto"/>
        <w:tabs>
          <w:tab w:leader="none" w:pos="966"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6" w:right="60" w:hanging="539"/>
        <w:spacing w:after="0" w:line="259" w:lineRule="auto"/>
        <w:tabs>
          <w:tab w:leader="none" w:pos="96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91" w:lineRule="exact"/>
        <w:rPr>
          <w:rFonts w:ascii="Arial" w:cs="Arial" w:eastAsia="Arial" w:hAnsi="Arial"/>
          <w:sz w:val="18"/>
          <w:szCs w:val="18"/>
          <w:color w:val="auto"/>
        </w:rPr>
      </w:pPr>
    </w:p>
    <w:p>
      <w:pPr>
        <w:ind w:left="426" w:right="20" w:hanging="426"/>
        <w:spacing w:after="0" w:line="300" w:lineRule="auto"/>
        <w:tabs>
          <w:tab w:leader="none" w:pos="42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966" w:right="560" w:hanging="539"/>
        <w:spacing w:after="0" w:line="334" w:lineRule="auto"/>
        <w:tabs>
          <w:tab w:leader="none" w:pos="966"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6"/>
          <w:szCs w:val="16"/>
          <w:color w:val="auto"/>
        </w:rPr>
      </w:pPr>
    </w:p>
    <w:p>
      <w:pPr>
        <w:ind w:left="966" w:right="260" w:hanging="539"/>
        <w:spacing w:after="0" w:line="270" w:lineRule="auto"/>
        <w:tabs>
          <w:tab w:leader="none" w:pos="96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886"/>
        <w:spacing w:after="0"/>
        <w:rPr>
          <w:sz w:val="20"/>
          <w:szCs w:val="20"/>
          <w:color w:val="auto"/>
        </w:rPr>
      </w:pPr>
      <w:r>
        <w:rPr>
          <w:rFonts w:ascii="Arial" w:cs="Arial" w:eastAsia="Arial" w:hAnsi="Arial"/>
          <w:sz w:val="18"/>
          <w:szCs w:val="18"/>
          <w:color w:val="auto"/>
        </w:rPr>
        <w:t>MASTECH DIGITAL, INC.</w:t>
      </w:r>
    </w:p>
    <w:p>
      <w:pPr>
        <w:spacing w:after="0" w:line="220" w:lineRule="exact"/>
        <w:rPr>
          <w:sz w:val="20"/>
          <w:szCs w:val="20"/>
          <w:color w:val="auto"/>
        </w:rPr>
      </w:pPr>
    </w:p>
    <w:p>
      <w:pPr>
        <w:ind w:left="6"/>
        <w:spacing w:after="0"/>
        <w:tabs>
          <w:tab w:leader="none" w:pos="5866"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13335</wp:posOffset>
            </wp:positionV>
            <wp:extent cx="31807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9" w:lineRule="exact"/>
        <w:rPr>
          <w:sz w:val="20"/>
          <w:szCs w:val="20"/>
          <w:color w:val="auto"/>
        </w:rPr>
      </w:pPr>
    </w:p>
    <w:p>
      <w:pPr>
        <w:ind w:left="5886"/>
        <w:spacing w:after="0"/>
        <w:rPr>
          <w:sz w:val="20"/>
          <w:szCs w:val="20"/>
          <w:color w:val="auto"/>
        </w:rPr>
      </w:pPr>
      <w:r>
        <w:rPr>
          <w:rFonts w:ascii="Arial" w:cs="Arial" w:eastAsia="Arial" w:hAnsi="Arial"/>
          <w:sz w:val="18"/>
          <w:szCs w:val="18"/>
          <w:b w:val="1"/>
          <w:bCs w:val="1"/>
          <w:color w:val="auto"/>
        </w:rPr>
        <w:t>John J. Cronin, Jr.</w:t>
      </w:r>
    </w:p>
    <w:p>
      <w:pPr>
        <w:spacing w:after="0" w:line="24" w:lineRule="exact"/>
        <w:rPr>
          <w:sz w:val="20"/>
          <w:szCs w:val="20"/>
          <w:color w:val="auto"/>
        </w:rPr>
      </w:pPr>
    </w:p>
    <w:p>
      <w:pPr>
        <w:ind w:left="5886"/>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0906"/>
          </w:cols>
          <w:pgMar w:left="494" w:top="121" w:right="4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left="6" w:right="360" w:firstLine="436"/>
        <w:spacing w:after="0" w:line="281"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June 30, 2021,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75" w:lineRule="exact"/>
        <w:rPr>
          <w:sz w:val="20"/>
          <w:szCs w:val="20"/>
          <w:color w:val="auto"/>
        </w:rPr>
      </w:pPr>
    </w:p>
    <w:p>
      <w:pPr>
        <w:ind w:left="426" w:hanging="426"/>
        <w:spacing w:after="0"/>
        <w:tabs>
          <w:tab w:leader="none" w:pos="42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6" w:lineRule="exact"/>
        <w:rPr>
          <w:rFonts w:ascii="Arial" w:cs="Arial" w:eastAsia="Arial" w:hAnsi="Arial"/>
          <w:sz w:val="18"/>
          <w:szCs w:val="18"/>
          <w:color w:val="auto"/>
        </w:rPr>
      </w:pPr>
    </w:p>
    <w:p>
      <w:pPr>
        <w:ind w:left="426" w:hanging="426"/>
        <w:spacing w:after="0"/>
        <w:tabs>
          <w:tab w:leader="none" w:pos="42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654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Vivek Gupta</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18"/>
          <w:szCs w:val="18"/>
          <w:color w:val="auto"/>
        </w:rPr>
        <w:t>Date: August 6, 2021</w:t>
      </w:r>
    </w:p>
    <w:p>
      <w:pPr>
        <w:sectPr>
          <w:pgSz w:w="11900" w:h="16838" w:orient="portrait"/>
          <w:cols w:equalWidth="0" w:num="1">
            <w:col w:w="10906"/>
          </w:cols>
          <w:pgMar w:left="494" w:top="121" w:right="4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left="6" w:right="200" w:firstLine="436"/>
        <w:spacing w:after="0" w:line="281"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June 30, 2021,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75" w:lineRule="exact"/>
        <w:rPr>
          <w:sz w:val="20"/>
          <w:szCs w:val="20"/>
          <w:color w:val="auto"/>
        </w:rPr>
      </w:pPr>
    </w:p>
    <w:p>
      <w:pPr>
        <w:ind w:left="426" w:hanging="426"/>
        <w:spacing w:after="0"/>
        <w:tabs>
          <w:tab w:leader="none" w:pos="4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6" w:lineRule="exact"/>
        <w:rPr>
          <w:rFonts w:ascii="Arial" w:cs="Arial" w:eastAsia="Arial" w:hAnsi="Arial"/>
          <w:sz w:val="18"/>
          <w:szCs w:val="18"/>
          <w:color w:val="auto"/>
        </w:rPr>
      </w:pPr>
    </w:p>
    <w:p>
      <w:pPr>
        <w:ind w:left="426" w:hanging="426"/>
        <w:spacing w:after="0"/>
        <w:tabs>
          <w:tab w:leader="none" w:pos="4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654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John J. Cronin, Jr.</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18"/>
          <w:szCs w:val="18"/>
          <w:color w:val="auto"/>
        </w:rPr>
        <w:t>Date: August 6, 2021</w:t>
      </w:r>
    </w:p>
    <w:sectPr>
      <w:pgSz w:w="11900" w:h="16838" w:orient="portrait"/>
      <w:cols w:equalWidth="0" w:num="1">
        <w:col w:w="10906"/>
      </w:cols>
      <w:pgMar w:left="494"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6"/>
    </w:lvl>
  </w:abstractNum>
  <w:abstractNum w:abstractNumId="9">
    <w:nsid w:val="7C83E458"/>
    <w:multiLevelType w:val="hybridMultilevel"/>
    <w:lvl w:ilvl="0">
      <w:lvlJc w:val="left"/>
      <w:lvlText w:val="%1."/>
      <w:numFmt w:val="decimal"/>
      <w:start w:val="7"/>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decimal"/>
      <w:start w:val="1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3"/>
    </w:lvl>
  </w:abstractNum>
  <w:abstractNum w:abstractNumId="17">
    <w:nsid w:val="2D1D5AE9"/>
    <w:multiLevelType w:val="hybridMultilevel"/>
    <w:lvl w:ilvl="0">
      <w:lvlJc w:val="left"/>
      <w:lvlText w:val="%1."/>
      <w:numFmt w:val="decimal"/>
      <w:start w:val="14"/>
    </w:lvl>
  </w:abstractNum>
  <w:abstractNum w:abstractNumId="18">
    <w:nsid w:val="6763845E"/>
    <w:multiLevelType w:val="hybridMultilevel"/>
    <w:lvl w:ilvl="0">
      <w:lvlJc w:val="left"/>
      <w:lvlText w:val="%1."/>
      <w:numFmt w:val="decimal"/>
      <w:start w:val="15"/>
    </w:lvl>
  </w:abstractNum>
  <w:abstractNum w:abstractNumId="19">
    <w:nsid w:val="75A2A8D4"/>
    <w:multiLevelType w:val="hybridMultilevel"/>
    <w:lvl w:ilvl="0">
      <w:lvlJc w:val="left"/>
      <w:lvlText w:val="%1."/>
      <w:numFmt w:val="decimal"/>
      <w:start w:val="16"/>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49" Type="http://schemas.openxmlformats.org/officeDocument/2006/relationships/hyperlink" Target="http://www.sec.gov/Archives/edgar/data/1437226/000119312521079905/d118775dex101.htm" TargetMode="External"/><Relationship Id="rId50" Type="http://schemas.openxmlformats.org/officeDocument/2006/relationships/hyperlink" Target="http://www.sec.gov/Archives/edgar/data/1437226/000119312521079905/d118775dex102.htm" TargetMode="External"/><Relationship Id="rId51" Type="http://schemas.openxmlformats.org/officeDocument/2006/relationships/hyperlink" Target="http://www.sec.gov/Archives/edgar/data/1437226/000119312521079905/d118775dex103.htm" TargetMode="External"/><Relationship Id="rId52" Type="http://schemas.openxmlformats.org/officeDocument/2006/relationships/hyperlink" Target="http://www.sec.gov/Archives/edgar/data/1437226/000119312521154024/d11334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2021-08-06T06:13:11Z</dcterms:created>
  <dcterms:modified xsi:type="dcterms:W3CDTF">2021-08-06T06:13:11Z</dcterms:modified>
</cp:coreProperties>
</file>