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mhh-20260630.htm"/>
        <w:bookmarkStart w:id="1" w:name="ksmhh2026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60" w:after="283"/>
        <w:ind w:left="4320" w:right="4320" w:hanging="0"/>
        <w:jc w:val="center"/>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spacing w:before="60" w:after="283"/>
        <w:ind w:left="4320" w:right="4320" w:hanging="0"/>
        <w:jc w:val="center"/>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Commission File Number 001-34099</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MASTECH DIGITAL,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PENNSYLVANIA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26-2753540</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5432" w:type="dxa"/>
        <w:jc w:val="left"/>
        <w:tblInd w:w="0" w:type="dxa"/>
        <w:tblLayout w:type="fixed"/>
        <w:tblCellMar>
          <w:top w:w="28" w:type="dxa"/>
          <w:left w:w="28" w:type="dxa"/>
          <w:bottom w:w="28" w:type="dxa"/>
          <w:right w:w="28" w:type="dxa"/>
        </w:tblCellMar>
      </w:tblPr>
      <w:tblGrid>
        <w:gridCol w:w="4501"/>
        <w:gridCol w:w="931"/>
      </w:tblGrid>
      <w:tr>
        <w:trPr/>
        <w:tc>
          <w:tcPr>
            <w:tcW w:w="45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5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1305 Cherrington Parkway, Building 210, Suite 400</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Moon Township, Pennsylvania</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15108</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(412) 787-2100</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535" w:type="dxa"/>
        <w:jc w:val="left"/>
        <w:tblInd w:w="0" w:type="dxa"/>
        <w:tblLayout w:type="fixed"/>
        <w:tblCellMar>
          <w:top w:w="28" w:type="dxa"/>
          <w:left w:w="28" w:type="dxa"/>
          <w:bottom w:w="28" w:type="dxa"/>
          <w:right w:w="28" w:type="dxa"/>
        </w:tblCellMar>
      </w:tblPr>
      <w:tblGrid>
        <w:gridCol w:w="3556"/>
        <w:gridCol w:w="146"/>
        <w:gridCol w:w="826"/>
        <w:gridCol w:w="146"/>
        <w:gridCol w:w="1861"/>
      </w:tblGrid>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61" w:type="dxa"/>
            <w:tcBorders/>
            <w:shd w:fill="FFFFFF" w:val="clear"/>
            <w:vAlign w:val="center"/>
          </w:tcPr>
          <w:p>
            <w:pPr>
              <w:pStyle w:val="TableContents"/>
              <w:bidi w:val="0"/>
              <w:spacing w:before="0" w:after="283"/>
              <w:jc w:val="left"/>
              <w:rPr>
                <w:sz w:val="4"/>
                <w:szCs w:val="4"/>
              </w:rPr>
            </w:pPr>
            <w:r>
              <w:rPr>
                <w:sz w:val="4"/>
                <w:szCs w:val="4"/>
              </w:rPr>
            </w:r>
          </w:p>
        </w:tc>
      </w:tr>
      <w:tr>
        <w:trPr/>
        <w:tc>
          <w:tcPr>
            <w:tcW w:w="3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MHH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 American</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shares of the registrant’s Common Stock, par value $.01 per share, outstanding as of July 31, 2026 was 12,012,581.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MASTECH DIGITAL,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 ENDED June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 w:name="toc_page"/>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8"/>
        <w:gridCol w:w="314"/>
        <w:gridCol w:w="8620"/>
        <w:gridCol w:w="513"/>
      </w:tblGrid>
      <w:tr>
        <w:trPr/>
        <w:tc>
          <w:tcPr>
            <w:tcW w:w="7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62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1</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8620"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(Unaudited) for the Three and Six Months Ended June 30, 2026 and 2025</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8620"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Condensed Consolidated Statements of Comprehensive Income (Unaudited) for the Three and Six Months Ended June 30, 2026 and 2025</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8620"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 (Unaudited) as of June 30, 2026 and December 31, 2025</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8620"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shareholders">
              <w:r>
                <w:rPr>
                  <w:rStyle w:val="InternetLink"/>
                  <w:rFonts w:ascii="Times New Roman" w:hAnsi="Times New Roman"/>
                  <w:color w:val="0000FF"/>
                  <w:sz w:val="20"/>
                  <w:u w:val="single"/>
                </w:rPr>
                <w:t>Condensed Consolidated Statements of Shareholders’ Equity (Unaudited) for the Three &amp; Six Months Ended June 30, 2026 and 2025</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w:t>
            </w:r>
          </w:p>
        </w:tc>
        <w:tc>
          <w:tcPr>
            <w:tcW w:w="8620"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 (Unaudited) for the Six Months Ended June 30, 2026 and 2025</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w:t>
            </w:r>
          </w:p>
        </w:tc>
        <w:tc>
          <w:tcPr>
            <w:tcW w:w="8620"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000FF"/>
                  <w:sz w:val="20"/>
                  <w:u w:val="single"/>
                </w:rPr>
                <w:t>Notes to Condensed Consolidated Financial Statements (Unaudited)</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part_i_financial_information"/>
      <w:bookmarkEnd w:id="3"/>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MASTECH DIGITAL,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002" w:type="dxa"/>
        <w:jc w:val="left"/>
        <w:tblInd w:w="0" w:type="dxa"/>
        <w:tblLayout w:type="fixed"/>
        <w:tblCellMar>
          <w:top w:w="28" w:type="dxa"/>
          <w:left w:w="28" w:type="dxa"/>
          <w:bottom w:w="28" w:type="dxa"/>
          <w:right w:w="28" w:type="dxa"/>
        </w:tblCellMar>
      </w:tblPr>
      <w:tblGrid>
        <w:gridCol w:w="3961"/>
        <w:gridCol w:w="146"/>
        <w:gridCol w:w="211"/>
        <w:gridCol w:w="676"/>
        <w:gridCol w:w="166"/>
        <w:gridCol w:w="146"/>
        <w:gridCol w:w="211"/>
        <w:gridCol w:w="676"/>
        <w:gridCol w:w="166"/>
        <w:gridCol w:w="146"/>
        <w:gridCol w:w="211"/>
        <w:gridCol w:w="676"/>
        <w:gridCol w:w="166"/>
        <w:gridCol w:w="146"/>
        <w:gridCol w:w="211"/>
        <w:gridCol w:w="676"/>
        <w:gridCol w:w="4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MASTECH DIGITAL,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f_comprehensive"/>
      <w:bookmarkEnd w:id="6"/>
      <w:r>
        <w:rPr>
          <w:rFonts w:ascii="Times New Roman" w:hAnsi="Times New Roman"/>
          <w:b/>
          <w:color w:val="000000"/>
          <w:sz w:val="20"/>
        </w:rPr>
        <w:t>CONDENSED CONSOLIDATED STATEMENTS OF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772" w:type="dxa"/>
        <w:jc w:val="left"/>
        <w:tblInd w:w="0" w:type="dxa"/>
        <w:tblLayout w:type="fixed"/>
        <w:tblCellMar>
          <w:top w:w="28" w:type="dxa"/>
          <w:left w:w="28" w:type="dxa"/>
          <w:bottom w:w="28" w:type="dxa"/>
          <w:right w:w="28" w:type="dxa"/>
        </w:tblCellMar>
      </w:tblPr>
      <w:tblGrid>
        <w:gridCol w:w="4441"/>
        <w:gridCol w:w="146"/>
        <w:gridCol w:w="211"/>
        <w:gridCol w:w="481"/>
        <w:gridCol w:w="166"/>
        <w:gridCol w:w="146"/>
        <w:gridCol w:w="211"/>
        <w:gridCol w:w="421"/>
        <w:gridCol w:w="166"/>
        <w:gridCol w:w="146"/>
        <w:gridCol w:w="211"/>
        <w:gridCol w:w="481"/>
        <w:gridCol w:w="166"/>
        <w:gridCol w:w="146"/>
        <w:gridCol w:w="211"/>
        <w:gridCol w:w="631"/>
        <w:gridCol w:w="3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MASTECH DIGITAL,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balance_sheets"/>
      <w:bookmarkEnd w:id="7"/>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6"/>
        <w:gridCol w:w="146"/>
        <w:gridCol w:w="211"/>
        <w:gridCol w:w="781"/>
        <w:gridCol w:w="166"/>
        <w:gridCol w:w="146"/>
        <w:gridCol w:w="227"/>
        <w:gridCol w:w="840"/>
        <w:gridCol w:w="592"/>
      </w:tblGrid>
      <w:tr>
        <w:trPr/>
        <w:tc>
          <w:tcPr>
            <w:tcW w:w="7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$269 in 2026 and $275</w:t>
              <w:br/>
              <w:t>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68,576</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enterprise software, and leasehold improvements,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Enterprise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equipment, enterprise software, and 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of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111,840</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payroll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severance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contingent liabilities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no par value; 20,000,000 shares authorized; none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$.01; 100,000,000 shares authorized and 14,052,048 shares</w:t>
              <w:br/>
              <w:t>   issued as of June 30, 2026 and 13,715,016 shares issued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2,022,864 shares as of June 30, 2026 and 2,022,864 shares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111,840</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MASTECH DIGITAL,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of_shareholders"/>
      <w:bookmarkEnd w:id="8"/>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5"/>
        <w:gridCol w:w="146"/>
        <w:gridCol w:w="255"/>
        <w:gridCol w:w="511"/>
        <w:gridCol w:w="146"/>
        <w:gridCol w:w="146"/>
        <w:gridCol w:w="211"/>
        <w:gridCol w:w="676"/>
        <w:gridCol w:w="146"/>
        <w:gridCol w:w="146"/>
        <w:gridCol w:w="250"/>
        <w:gridCol w:w="801"/>
        <w:gridCol w:w="166"/>
        <w:gridCol w:w="146"/>
        <w:gridCol w:w="211"/>
        <w:gridCol w:w="631"/>
        <w:gridCol w:w="166"/>
        <w:gridCol w:w="146"/>
        <w:gridCol w:w="304"/>
        <w:gridCol w:w="912"/>
        <w:gridCol w:w="166"/>
        <w:gridCol w:w="146"/>
        <w:gridCol w:w="264"/>
        <w:gridCol w:w="847"/>
        <w:gridCol w:w="211"/>
      </w:tblGrid>
      <w:tr>
        <w:trPr/>
        <w:tc>
          <w:tcPr>
            <w:tcW w:w="2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common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5"/>
        <w:gridCol w:w="146"/>
        <w:gridCol w:w="255"/>
        <w:gridCol w:w="511"/>
        <w:gridCol w:w="146"/>
        <w:gridCol w:w="146"/>
        <w:gridCol w:w="211"/>
        <w:gridCol w:w="676"/>
        <w:gridCol w:w="146"/>
        <w:gridCol w:w="146"/>
        <w:gridCol w:w="250"/>
        <w:gridCol w:w="801"/>
        <w:gridCol w:w="166"/>
        <w:gridCol w:w="146"/>
        <w:gridCol w:w="211"/>
        <w:gridCol w:w="631"/>
        <w:gridCol w:w="166"/>
        <w:gridCol w:w="146"/>
        <w:gridCol w:w="304"/>
        <w:gridCol w:w="912"/>
        <w:gridCol w:w="166"/>
        <w:gridCol w:w="146"/>
        <w:gridCol w:w="264"/>
        <w:gridCol w:w="847"/>
        <w:gridCol w:w="211"/>
      </w:tblGrid>
      <w:tr>
        <w:trPr/>
        <w:tc>
          <w:tcPr>
            <w:tcW w:w="2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common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MASTECH DIGITAL,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solidated_statements_of_cash_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214" w:type="dxa"/>
        <w:jc w:val="left"/>
        <w:tblInd w:w="0" w:type="dxa"/>
        <w:tblLayout w:type="fixed"/>
        <w:tblCellMar>
          <w:top w:w="28" w:type="dxa"/>
          <w:left w:w="28" w:type="dxa"/>
          <w:bottom w:w="28" w:type="dxa"/>
          <w:right w:w="28" w:type="dxa"/>
        </w:tblCellMar>
      </w:tblPr>
      <w:tblGrid>
        <w:gridCol w:w="6171"/>
        <w:gridCol w:w="146"/>
        <w:gridCol w:w="211"/>
        <w:gridCol w:w="676"/>
        <w:gridCol w:w="166"/>
        <w:gridCol w:w="146"/>
        <w:gridCol w:w="211"/>
        <w:gridCol w:w="676"/>
        <w:gridCol w:w="81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(loss) to cash provided by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Bad debt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FX on monetary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Working capital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and 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payroll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flows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Recovery of (payment for) non-current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ESPP and the issuance of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Certain prior period amounts have been reclassified to conform to the current period presentation, including revisions to the classification of certain cash flow items.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MASTECH DIGITAL,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densed_consolidated"/>
      <w:bookmarkEnd w:id="10"/>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June 30, 2026 and 2025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Basis of Presentation: </w:t>
      </w:r>
    </w:p>
    <w:p>
      <w:pPr>
        <w:pStyle w:val="TextBody"/>
        <w:bidi w:val="0"/>
        <w:spacing w:before="120" w:after="283"/>
        <w:ind w:left="489" w:right="0" w:hanging="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References in this Quarterly Report on Form 10-Q to “we”, “our”, “Mastech Digital”, “Mastech” or “the Company” refer collectively to Mastech Digital, Inc. and its wholly owned operating subsidiaries, which are included in these Condensed Consolidated Financial Statements (the “Financial Statements”). </w:t>
      </w:r>
    </w:p>
    <w:p>
      <w:pPr>
        <w:pStyle w:val="TextBody"/>
        <w:bidi w:val="0"/>
        <w:spacing w:before="360" w:after="283"/>
        <w:ind w:left="0" w:right="0" w:firstLine="490"/>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 provider of Digital Transformation IT services to primarily large and medium-sized organizations.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portfolio of offerings includes a combination of professional services and staffing solutions designed to support our clients’ digital and technology initiatives. Beginning on January 1, 2026, we report our operations through two segments: Talent and Data &amp; AI. This change reflects a realignment of the Company's internal management and reporting structure under its operating strategy, whereby the Chief Operating Decision Maker evaluates operating performance and allocates resources based on these two segments. Prior-period segment information has been recast to conform to the current presentation.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Data &amp; AI segment consists of direct client engagements that are managed as services-led accounts. These offerings include data management and analytics, digital transformation consulting, AI and Industry Solutions, data engineering and IT services, and managed services. These services are delivered through a mix of on-site and offshore resources and may be structured as project-based, time-and-materials, or fixed-price arrangements. Our capabilities in this segment have been expanded through acquisitions, including InfoTrellis, Inc. ("InfoTrellis") in 2017, which added specialized data and analytics expertise, and AmberLeaf Partners, Inc. ("AmberLeaf") in 2020, which enhanced our customer experience consulting and managed services offerings.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(“MSPs”) and system integrators, as well as certain direct client staffing relationships that are managed as staffing-only engagements. Our digital technology capabilities include data management, analytics, cloud, mobility, social, and artificial intelligence. We serve organizations with significant IT spending and recurring staffing needs, as well as clients with project-based staffing requirements.</w:t>
      </w:r>
    </w:p>
    <w:p>
      <w:pPr>
        <w:pStyle w:val="TextBody"/>
        <w:bidi w:val="0"/>
        <w:spacing w:before="360" w:after="283"/>
        <w:ind w:left="0" w:right="0" w:firstLine="490"/>
        <w:jc w:val="left"/>
        <w:rPr>
          <w:rFonts w:ascii="Times New Roman" w:hAnsi="Times New Roman"/>
          <w:sz w:val="20"/>
        </w:rPr>
      </w:pPr>
      <w:r>
        <w:rPr>
          <w:rFonts w:ascii="Times New Roman" w:hAnsi="Times New Roman"/>
          <w:b/>
          <w:i/>
          <w:color w:val="000000"/>
          <w:sz w:val="20"/>
        </w:rPr>
        <w:t>Accounting Principles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2025, included in our Annual Report on Form 10-K filed with the SEC on March 18, 2026. Additionally, our operating results for the three and six months ended June 30, 2026, are not necessarily indicative of the results that can be expected for the year ending December 31, 2026 or for any other period. </w:t>
      </w:r>
    </w:p>
    <w:p>
      <w:pPr>
        <w:pStyle w:val="TextBody"/>
        <w:bidi w:val="0"/>
        <w:spacing w:before="360" w:after="283"/>
        <w:ind w:left="0" w:right="0" w:firstLine="49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Financial Statements include the accounts of the Company and its wholly-owned subsidiaries. All material intercompany transactions and balances have been eliminated in consolidation. </w:t>
      </w:r>
    </w:p>
    <w:p>
      <w:pPr>
        <w:pStyle w:val="TextBody"/>
        <w:bidi w:val="0"/>
        <w:spacing w:before="360" w:after="283"/>
        <w:ind w:left="0" w:right="0" w:firstLine="490"/>
        <w:jc w:val="left"/>
        <w:rPr>
          <w:rFonts w:ascii="Times New Roman" w:hAnsi="Times New Roman"/>
          <w:sz w:val="20"/>
        </w:rPr>
      </w:pPr>
      <w:r>
        <w:rPr>
          <w:rFonts w:ascii="Times New Roman" w:hAnsi="Times New Roman"/>
          <w:b/>
          <w:i/>
          <w:color w:val="000000"/>
          <w:sz w:val="20"/>
        </w:rPr>
        <w:t>Critical Accounting Policies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Please refer to Note 1 “Summary of Significant Accounting Policies” of the Consolidated Financial Statements and “Management’s Discussion and Analysis of Financial Condition and Results of Operations–Critical Accounting Policies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in our Annual Report on Form 10-K for the year ended December 31, 2025, for a more detailed discussion of our significant accounting policies and critical accounting estimates. There were no material changes to these critical accounting policies during the six months ended June 30, 2026. </w:t>
      </w:r>
    </w:p>
    <w:p>
      <w:pPr>
        <w:pStyle w:val="TextBody"/>
        <w:bidi w:val="0"/>
        <w:spacing w:before="360" w:after="283"/>
        <w:ind w:left="490" w:right="0" w:hanging="0"/>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two reportable segments, in accordance with Accounting Standards Codification (“ASC”) Topic 280 “Disclosures About Segments of an Enterprise and Related Information”: Talent and Data &amp; AI. See Note 12, "Business Segments and Geographic Information", for additional information regarding the Company's reportable segments.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Revenue from Contracts with Customers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fair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time-and-material and fixed price revenue streams are recognized over time as the customer receives and consumes the benefits of the Company’s performance as the work is performed.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certain situations related to client direct hire assignments, where the Company’s fee is contingent upon the hired resources continued employment with the client, revenue is not fully recognized until such employment conditions are satisfied.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general and administrative expenses.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Beginning on January 1, 2026, the Company reports its operations through two segments: Talent and Data &amp; AI.</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Data &amp; AI segment provides direct client engagements that are managed as services-led accounts. These offerings include data management and analytics, digital transformation consulting, AI and Industry Solutions, staffing to direct customers, data engineering and IT services, and managed services. Engagements are typically project-based and may be structured as time-and-material or fixed-price arrangements and delivered using a combination of on-site and offshore resources.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and system integrators, as well as certain direct client staffing relationships that are managed as staffing-only engagements. Substantially all revenue within this segment is recognized over time as services are performed, generally based on hours worked.</w:t>
      </w:r>
    </w:p>
    <w:p>
      <w:pPr>
        <w:pStyle w:val="TextBody"/>
        <w:bidi w:val="0"/>
        <w:spacing w:before="240" w:after="283"/>
        <w:ind w:left="0" w:right="0" w:firstLine="49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following table depicts the disaggregation of our revenues by contract type and operating segment: </w:t>
      </w:r>
    </w:p>
    <w:p>
      <w:pPr>
        <w:pStyle w:val="TextBody"/>
        <w:bidi w:val="0"/>
        <w:jc w:val="left"/>
        <w:rPr/>
      </w:pPr>
      <w:r>
        <w:rPr/>
        <w:t> </w:t>
      </w:r>
    </w:p>
    <w:tbl>
      <w:tblPr>
        <w:tblW w:w="7407" w:type="dxa"/>
        <w:jc w:val="left"/>
        <w:tblInd w:w="0" w:type="dxa"/>
        <w:tblLayout w:type="fixed"/>
        <w:tblCellMar>
          <w:top w:w="28" w:type="dxa"/>
          <w:left w:w="28" w:type="dxa"/>
          <w:bottom w:w="28" w:type="dxa"/>
          <w:right w:w="28" w:type="dxa"/>
        </w:tblCellMar>
      </w:tblPr>
      <w:tblGrid>
        <w:gridCol w:w="2446"/>
        <w:gridCol w:w="146"/>
        <w:gridCol w:w="211"/>
        <w:gridCol w:w="676"/>
        <w:gridCol w:w="146"/>
        <w:gridCol w:w="146"/>
        <w:gridCol w:w="211"/>
        <w:gridCol w:w="676"/>
        <w:gridCol w:w="146"/>
        <w:gridCol w:w="146"/>
        <w:gridCol w:w="211"/>
        <w:gridCol w:w="676"/>
        <w:gridCol w:w="146"/>
        <w:gridCol w:w="146"/>
        <w:gridCol w:w="211"/>
        <w:gridCol w:w="676"/>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Data and AI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Time-and-material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Subtotal 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Talent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Time-and-material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Subtotal 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65,680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For the three months ended June 30, 2026, the Company had one client (Fidelity = 26.7%) that exceeded 10% of total revenues. For the six months ended June 30, 2026, the Company had one client (Fidelity = 25.6%) that exceeded 10% of total revenues. </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For the three months ended June 30, 2025, the Company had three clients (Fidelity = 15%, Populus = 12.4% and CGI = 11%) that each exceeded 10% of total revenues. For the six months ended June 30, 2025, the Company had the same three clients (Fidelity = 14%, Populus = 12.1% and CGI = 11.5%) that each exceeded 10% of total revenues.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top ten clients represented approximately 61% and 58% of total revenues for the three months ended June 30, 2026 and 2025, respectively. For the six months ended June 30, 2026 and 2025, the Company's top ten clients represented approximately 60% and 58% of total revenues,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our revenue from external customers disaggregated by geography, based on the work location of our customers: </w:t>
      </w:r>
    </w:p>
    <w:p>
      <w:pPr>
        <w:pStyle w:val="TextBody"/>
        <w:bidi w:val="0"/>
        <w:jc w:val="left"/>
        <w:rPr/>
      </w:pPr>
      <w:r>
        <w:rPr/>
        <w:t> </w:t>
      </w:r>
    </w:p>
    <w:tbl>
      <w:tblPr>
        <w:tblW w:w="6542" w:type="dxa"/>
        <w:jc w:val="left"/>
        <w:tblInd w:w="0" w:type="dxa"/>
        <w:tblLayout w:type="fixed"/>
        <w:tblCellMar>
          <w:top w:w="28" w:type="dxa"/>
          <w:left w:w="28" w:type="dxa"/>
          <w:bottom w:w="28" w:type="dxa"/>
          <w:right w:w="28" w:type="dxa"/>
        </w:tblCellMar>
      </w:tblPr>
      <w:tblGrid>
        <w:gridCol w:w="1581"/>
        <w:gridCol w:w="146"/>
        <w:gridCol w:w="211"/>
        <w:gridCol w:w="676"/>
        <w:gridCol w:w="146"/>
        <w:gridCol w:w="146"/>
        <w:gridCol w:w="211"/>
        <w:gridCol w:w="676"/>
        <w:gridCol w:w="146"/>
        <w:gridCol w:w="146"/>
        <w:gridCol w:w="211"/>
        <w:gridCol w:w="676"/>
        <w:gridCol w:w="146"/>
        <w:gridCol w:w="146"/>
        <w:gridCol w:w="211"/>
        <w:gridCol w:w="676"/>
        <w:gridCol w:w="391"/>
      </w:tblGrid>
      <w:tr>
        <w:trPr/>
        <w:tc>
          <w:tcPr>
            <w:tcW w:w="1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Goodwill and Other Intangible Assets, net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Goodwill is allocated to the Company’s reporting units within its Talent and Data &amp; AI segments. In connection with the Company’s adoption of its revised segment reporting structure effective January 1, 2026, goodwill and identifiable intangible assets were reassigned to the Company’s reporting units using a relative fair value approach. The reassignment did not impact the Company’s total consolidated goodwill or intangible asset balances.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Goodwill associated with the Talent segment relates to the Company’s 2015 acquisition of Hudson Global Resources Management’s U.S. IT staffing business. Goodwill associated with the Data &amp; AI segment includes amounts related to the Company’s acquisitions of the services division of InfoTrellis in 2017 and AmberLeaf in 2020, as well as a portion of goodwill originally arising from the Company’s 2015 acquisition of Hudson Global Resources Management’s U.S. IT staffing business that was reallocated in connection with the segment realignment.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recorded goodwill impairment charges of $5.3 million in 2023 and $9.7 million in 2018 related to its Data &amp; AI segment. These impairments were primarily attributable to declines in revenue levels and lower projected future revenues.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continued decline in operating performance or adverse changes in market conditions affecting the Company’s Talent segment could adversely affect the estimated fair value of the related reporting unit. If such trends persist, there is a risk that a goodwill impairment charge may be required in a future reporting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A reconciliation of the beginning and ending amounts of goodwill by operating segment for the periods ended June 30, 2026 and December 31, 2025 is as follows: </w:t>
      </w:r>
    </w:p>
    <w:p>
      <w:pPr>
        <w:pStyle w:val="TextBody"/>
        <w:bidi w:val="0"/>
        <w:jc w:val="left"/>
        <w:rPr/>
      </w:pPr>
      <w:r>
        <w:rPr/>
        <w:t> </w:t>
      </w:r>
    </w:p>
    <w:tbl>
      <w:tblPr>
        <w:tblW w:w="5800" w:type="dxa"/>
        <w:jc w:val="left"/>
        <w:tblInd w:w="0" w:type="dxa"/>
        <w:tblLayout w:type="fixed"/>
        <w:tblCellMar>
          <w:top w:w="28" w:type="dxa"/>
          <w:left w:w="28" w:type="dxa"/>
          <w:bottom w:w="28" w:type="dxa"/>
          <w:right w:w="28" w:type="dxa"/>
        </w:tblCellMar>
      </w:tblPr>
      <w:tblGrid>
        <w:gridCol w:w="1866"/>
        <w:gridCol w:w="146"/>
        <w:gridCol w:w="380"/>
        <w:gridCol w:w="1030"/>
        <w:gridCol w:w="146"/>
        <w:gridCol w:w="146"/>
        <w:gridCol w:w="455"/>
        <w:gridCol w:w="1240"/>
        <w:gridCol w:w="391"/>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00" w:type="dxa"/>
        <w:jc w:val="left"/>
        <w:tblInd w:w="0" w:type="dxa"/>
        <w:tblLayout w:type="fixed"/>
        <w:tblCellMar>
          <w:top w:w="28" w:type="dxa"/>
          <w:left w:w="28" w:type="dxa"/>
          <w:bottom w:w="28" w:type="dxa"/>
          <w:right w:w="28" w:type="dxa"/>
        </w:tblCellMar>
      </w:tblPr>
      <w:tblGrid>
        <w:gridCol w:w="1866"/>
        <w:gridCol w:w="146"/>
        <w:gridCol w:w="335"/>
        <w:gridCol w:w="1075"/>
        <w:gridCol w:w="146"/>
        <w:gridCol w:w="146"/>
        <w:gridCol w:w="403"/>
        <w:gridCol w:w="1292"/>
        <w:gridCol w:w="391"/>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Company is amortizing the identifiable intangible assets on a straight-line basis over estimated average lives ranging from 3 to 12 years. Identifiable intangible assets were comprised of the following as of June 30, 2026 and December 31, 2025: </w:t>
      </w:r>
    </w:p>
    <w:p>
      <w:pPr>
        <w:pStyle w:val="TextBody"/>
        <w:bidi w:val="0"/>
        <w:jc w:val="left"/>
        <w:rPr/>
      </w:pPr>
      <w:r>
        <w:rPr/>
        <w:t> </w:t>
      </w:r>
    </w:p>
    <w:tbl>
      <w:tblPr>
        <w:tblW w:w="8855" w:type="dxa"/>
        <w:jc w:val="left"/>
        <w:tblInd w:w="0" w:type="dxa"/>
        <w:tblLayout w:type="fixed"/>
        <w:tblCellMar>
          <w:top w:w="28" w:type="dxa"/>
          <w:left w:w="28" w:type="dxa"/>
          <w:bottom w:w="28" w:type="dxa"/>
          <w:right w:w="28" w:type="dxa"/>
        </w:tblCellMar>
      </w:tblPr>
      <w:tblGrid>
        <w:gridCol w:w="2456"/>
        <w:gridCol w:w="146"/>
        <w:gridCol w:w="430"/>
        <w:gridCol w:w="935"/>
        <w:gridCol w:w="146"/>
        <w:gridCol w:w="146"/>
        <w:gridCol w:w="296"/>
        <w:gridCol w:w="949"/>
        <w:gridCol w:w="146"/>
        <w:gridCol w:w="146"/>
        <w:gridCol w:w="260"/>
        <w:gridCol w:w="836"/>
        <w:gridCol w:w="146"/>
        <w:gridCol w:w="146"/>
        <w:gridCol w:w="291"/>
        <w:gridCol w:w="789"/>
        <w:gridCol w:w="591"/>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br/>
              <w:t>Period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Accumulative</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Client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Covenant-not-to-compete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Client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Covenant-not-to-compete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55" w:type="dxa"/>
        <w:jc w:val="left"/>
        <w:tblInd w:w="0" w:type="dxa"/>
        <w:tblLayout w:type="fixed"/>
        <w:tblCellMar>
          <w:top w:w="28" w:type="dxa"/>
          <w:left w:w="28" w:type="dxa"/>
          <w:bottom w:w="28" w:type="dxa"/>
          <w:right w:w="28" w:type="dxa"/>
        </w:tblCellMar>
      </w:tblPr>
      <w:tblGrid>
        <w:gridCol w:w="2456"/>
        <w:gridCol w:w="146"/>
        <w:gridCol w:w="430"/>
        <w:gridCol w:w="935"/>
        <w:gridCol w:w="146"/>
        <w:gridCol w:w="146"/>
        <w:gridCol w:w="296"/>
        <w:gridCol w:w="949"/>
        <w:gridCol w:w="146"/>
        <w:gridCol w:w="146"/>
        <w:gridCol w:w="260"/>
        <w:gridCol w:w="836"/>
        <w:gridCol w:w="146"/>
        <w:gridCol w:w="146"/>
        <w:gridCol w:w="291"/>
        <w:gridCol w:w="789"/>
        <w:gridCol w:w="591"/>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br/>
              <w:t>Period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Accumulative</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Client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Covenant-not-to-compete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Client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Covenant-not-to-compete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ind w:left="0" w:right="0" w:hanging="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Amortization expense for the three and six months ended June 30, 2026, totaled $0.6 million and $1.2 million respectively, and is included in selling, general and administrative expenses in the Consolidated Statement of Operations. Amortization expense for the three and six months ended June 30, 2025, totaled $0.6 million and $1.3 million respectively, and is included in selling, general and administrative expenses in the Consolidated Statement of Operations.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estimated aggregate amortization expense for intangible assets for the years ending December 31, 2026 through 2030 is as follows: </w:t>
      </w:r>
    </w:p>
    <w:p>
      <w:pPr>
        <w:pStyle w:val="TextBody"/>
        <w:bidi w:val="0"/>
        <w:jc w:val="left"/>
        <w:rPr/>
      </w:pPr>
      <w:r>
        <w:rPr/>
        <w:t> </w:t>
      </w:r>
    </w:p>
    <w:tbl>
      <w:tblPr>
        <w:tblW w:w="7171" w:type="dxa"/>
        <w:jc w:val="left"/>
        <w:tblInd w:w="0" w:type="dxa"/>
        <w:tblLayout w:type="fixed"/>
        <w:tblCellMar>
          <w:top w:w="28" w:type="dxa"/>
          <w:left w:w="28" w:type="dxa"/>
          <w:bottom w:w="28" w:type="dxa"/>
          <w:right w:w="28" w:type="dxa"/>
        </w:tblCellMar>
      </w:tblPr>
      <w:tblGrid>
        <w:gridCol w:w="190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42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rents certain office facilities under noncancelable operating leases. As of June 30, 2026, approximately 94,000 square feet of office space is utilized for our sales and recruiting offices, delivery centers, and corporate headquarters. All of our leases are classified as operating leases. The average initial lease term is 2.9 years. Several leases have an option to renew, at our sole discretion, for an additional term. Our present lease terms range from less than one year to 3.3 years with a weighted average of 2.1 years. Leases with an initial term of twelve months or less are not recorded on the balance sheet.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balance sheet classification of the lease assets and related lease liabilities: </w:t>
      </w:r>
    </w:p>
    <w:p>
      <w:pPr>
        <w:pStyle w:val="TextBody"/>
        <w:bidi w:val="0"/>
        <w:jc w:val="left"/>
        <w:rPr/>
      </w:pPr>
      <w:r>
        <w:rPr/>
        <w:t> </w:t>
      </w:r>
    </w:p>
    <w:tbl>
      <w:tblPr>
        <w:tblW w:w="7605" w:type="dxa"/>
        <w:jc w:val="left"/>
        <w:tblInd w:w="0" w:type="dxa"/>
        <w:tblLayout w:type="fixed"/>
        <w:tblCellMar>
          <w:top w:w="28" w:type="dxa"/>
          <w:left w:w="28" w:type="dxa"/>
          <w:bottom w:w="28" w:type="dxa"/>
          <w:right w:w="28" w:type="dxa"/>
        </w:tblCellMar>
      </w:tblPr>
      <w:tblGrid>
        <w:gridCol w:w="3951"/>
        <w:gridCol w:w="146"/>
        <w:gridCol w:w="303"/>
        <w:gridCol w:w="822"/>
        <w:gridCol w:w="146"/>
        <w:gridCol w:w="146"/>
        <w:gridCol w:w="403"/>
        <w:gridCol w:w="1097"/>
        <w:gridCol w:w="591"/>
      </w:tblGrid>
      <w:tr>
        <w:trPr/>
        <w:tc>
          <w:tcPr>
            <w:tcW w:w="3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Future minimum rental payments for office facilities and equipment under the Company’s noncancelable operating leases are as follows: </w:t>
      </w:r>
    </w:p>
    <w:p>
      <w:pPr>
        <w:pStyle w:val="TextBody"/>
        <w:bidi w:val="0"/>
        <w:jc w:val="left"/>
        <w:rPr/>
      </w:pPr>
      <w:r>
        <w:rPr/>
        <w:t> </w:t>
      </w:r>
    </w:p>
    <w:tbl>
      <w:tblPr>
        <w:tblW w:w="4993" w:type="dxa"/>
        <w:jc w:val="left"/>
        <w:tblInd w:w="0" w:type="dxa"/>
        <w:tblLayout w:type="fixed"/>
        <w:tblCellMar>
          <w:top w:w="28" w:type="dxa"/>
          <w:left w:w="28" w:type="dxa"/>
          <w:bottom w:w="28" w:type="dxa"/>
          <w:right w:w="28" w:type="dxa"/>
        </w:tblCellMar>
      </w:tblPr>
      <w:tblGrid>
        <w:gridCol w:w="3511"/>
        <w:gridCol w:w="146"/>
        <w:gridCol w:w="303"/>
        <w:gridCol w:w="822"/>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as of</w:t>
              <w:b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(for remainder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weighted average discount rate used to calculate the present value of future lease payments was 5.9%.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rent expense for these leases on a straight-line basis over the lease term. Rental expense for the three and six months ended June 30, 2026 totaled $0.5 million and $0.9 million respectively. Rental expense for the three and six months ended June 30, 2025 totaled $0.4 million and $0.8 million respectively. </w:t>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Cash paid for lease liabilities for the three and six months ended June 30, 2026 totaled $0.5 million and $0.9 million, respectively. Total cash paid for lease liabilities for the three and six months ended June 30, 2025 totaled $0.3 million and $0.7 million, respectively.</w:t>
      </w:r>
    </w:p>
    <w:p>
      <w:pPr>
        <w:pStyle w:val="TextBody"/>
        <w:bidi w:val="0"/>
        <w:spacing w:before="120" w:after="283"/>
        <w:ind w:left="0" w:right="0" w:firstLine="49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5, 2026, the Company entered into a lease agreement (the “Lease”) with EPC-CW15, LLC (the “Landlord”) for approximately 5,895 square feet of office space located at 3300 Olympus Boulevard, Suite 560, Dallas, Texas 75019 (the “Property”). The Lease is expected to commence on August 24, 2026 (or such later date as specified in the Lease) and has an initial term of five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years following a five-month rent abatement period, unless earlier terminated in accordance with its terms. The Company has the option to renew the Lease for one additional five-year period.</w:t>
      </w:r>
    </w:p>
    <w:p>
      <w:pPr>
        <w:pStyle w:val="TextBody"/>
        <w:bidi w:val="0"/>
        <w:spacing w:before="12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Employee Benefit Plan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six months ended June 30, 2026 and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2008, the Company adopted a Stock Incentive Plan. This stock incentive plan was amended and restated effective as of May 14, 2024 and further amended on May 14, 2025 and May 13, 2026 (as amended from time to time, the “Plan”). The Plan provides that up to 6,200,000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stock awards or restricted stock units. As of June 30, 2026, 788,000 shares remained available for future grant under the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equity awards granted during the three and six months ended June 30, 2026 and 2025:</w:t>
      </w:r>
    </w:p>
    <w:p>
      <w:pPr>
        <w:pStyle w:val="TextBody"/>
        <w:bidi w:val="0"/>
        <w:spacing w:before="120" w:after="283"/>
        <w:ind w:left="0" w:right="0" w:firstLine="490"/>
        <w:jc w:val="left"/>
        <w:rPr/>
      </w:pPr>
      <w:r>
        <w:rPr/>
        <w:t> </w:t>
      </w:r>
    </w:p>
    <w:tbl>
      <w:tblPr>
        <w:tblW w:w="7807" w:type="dxa"/>
        <w:jc w:val="left"/>
        <w:tblInd w:w="0" w:type="dxa"/>
        <w:tblLayout w:type="fixed"/>
        <w:tblCellMar>
          <w:top w:w="28" w:type="dxa"/>
          <w:left w:w="28" w:type="dxa"/>
          <w:bottom w:w="28" w:type="dxa"/>
          <w:right w:w="28" w:type="dxa"/>
        </w:tblCellMar>
      </w:tblPr>
      <w:tblGrid>
        <w:gridCol w:w="2731"/>
        <w:gridCol w:w="146"/>
        <w:gridCol w:w="211"/>
        <w:gridCol w:w="676"/>
        <w:gridCol w:w="146"/>
        <w:gridCol w:w="146"/>
        <w:gridCol w:w="211"/>
        <w:gridCol w:w="781"/>
        <w:gridCol w:w="146"/>
        <w:gridCol w:w="146"/>
        <w:gridCol w:w="211"/>
        <w:gridCol w:w="781"/>
        <w:gridCol w:w="146"/>
        <w:gridCol w:w="146"/>
        <w:gridCol w:w="211"/>
        <w:gridCol w:w="78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Equity Awards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exercise price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Of the restricted stock granted during the six months ended June 30, 2026, 100,314 shares vested immediately upon grant but are subject to transfer restrictions that prohibit disposition until March 30, 2028, subject to immediate lapse of any restriction due to (i) separation from the Company for any reason, (ii) death, or (iii) disability. Because these shares vested immediately, they did not result in additional stock-based compensation expense, but rather, they were issued in settlement of previously accrued cash compensation. The remaining restricted stock awards granted during the period vest one year from the grant date.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stock-based compensation expense during the three and six months ended June 30, 2026 and 2025:</w:t>
      </w:r>
    </w:p>
    <w:p>
      <w:pPr>
        <w:pStyle w:val="TextBody"/>
        <w:bidi w:val="0"/>
        <w:spacing w:before="120" w:after="283"/>
        <w:ind w:left="0" w:right="0" w:firstLine="490"/>
        <w:jc w:val="left"/>
        <w:rPr/>
      </w:pPr>
      <w:r>
        <w:rPr/>
        <w:t> </w:t>
      </w:r>
    </w:p>
    <w:tbl>
      <w:tblPr>
        <w:tblW w:w="7073" w:type="dxa"/>
        <w:jc w:val="left"/>
        <w:tblInd w:w="0" w:type="dxa"/>
        <w:tblLayout w:type="fixed"/>
        <w:tblCellMar>
          <w:top w:w="28" w:type="dxa"/>
          <w:left w:w="28" w:type="dxa"/>
          <w:bottom w:w="28" w:type="dxa"/>
          <w:right w:w="28" w:type="dxa"/>
        </w:tblCellMar>
      </w:tblPr>
      <w:tblGrid>
        <w:gridCol w:w="2986"/>
        <w:gridCol w:w="146"/>
        <w:gridCol w:w="217"/>
        <w:gridCol w:w="434"/>
        <w:gridCol w:w="150"/>
        <w:gridCol w:w="150"/>
        <w:gridCol w:w="217"/>
        <w:gridCol w:w="434"/>
        <w:gridCol w:w="146"/>
        <w:gridCol w:w="146"/>
        <w:gridCol w:w="211"/>
        <w:gridCol w:w="571"/>
        <w:gridCol w:w="146"/>
        <w:gridCol w:w="146"/>
        <w:gridCol w:w="211"/>
        <w:gridCol w:w="57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Stock-based compensation expense is included in selling, general and administrative expenses in the accompanying Condensed Consolidated Statements of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shares of Common Stock issued pursuant to equity awards under the Plan during the three and six months ended June 30, 2026 and 2025:</w:t>
      </w:r>
    </w:p>
    <w:p>
      <w:pPr>
        <w:pStyle w:val="TextBody"/>
        <w:bidi w:val="0"/>
        <w:spacing w:before="12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677" w:type="dxa"/>
        <w:jc w:val="left"/>
        <w:tblInd w:w="0" w:type="dxa"/>
        <w:tblLayout w:type="fixed"/>
        <w:tblCellMar>
          <w:top w:w="28" w:type="dxa"/>
          <w:left w:w="28" w:type="dxa"/>
          <w:bottom w:w="28" w:type="dxa"/>
          <w:right w:w="28" w:type="dxa"/>
        </w:tblCellMar>
      </w:tblPr>
      <w:tblGrid>
        <w:gridCol w:w="2071"/>
        <w:gridCol w:w="146"/>
        <w:gridCol w:w="146"/>
        <w:gridCol w:w="676"/>
        <w:gridCol w:w="146"/>
        <w:gridCol w:w="146"/>
        <w:gridCol w:w="146"/>
        <w:gridCol w:w="676"/>
        <w:gridCol w:w="146"/>
        <w:gridCol w:w="146"/>
        <w:gridCol w:w="146"/>
        <w:gridCol w:w="781"/>
        <w:gridCol w:w="146"/>
        <w:gridCol w:w="146"/>
        <w:gridCol w:w="146"/>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February 16, 2026, the Company’s Board of Directors approved the termination of the Stock Purchase Plan. The termination became effective on July 1, 2026. Accordingly, no new offering periods will commence after June 30, 2026, although shares relating to the offering period in progress as of the termination date will continue to be issued in accordance with the terms of the Employee Stock Purchase Plan.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the three months ended June 30, 2026 and 2025, there were 4,381 shares and 11,483 shares issued under the Employee Stock Purchase Plan at a share price of $5.69 and $6.09, respectively. Stock-based compensation expense related to the Stock Purchase Plan for the three months ended June 30, 2026 and 2025 totaled $5,000 and $21,000, respectively. Stock-based compensation expense related to the Stock Purchase Plan for the six months ended June 30, 2026 and 2025, totaled $10,000 and $42,000, respectively, and is included in selling, general and administrative expenses in the Condensed Consolidated Statements of Operations. As of June 30, 2026, there were 412,564 shares available for purchases under the Employee Stock Purchase Plan.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Credit Facility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October 7, 2020, Exhibit 10.2 to the Form 8-K/A filed with the SEC on January 4, 2022 and Exhibits 10.11 and 10.12 to the Company’s Form 10-K filed with the SEC on March 15, 2024. Additionally, the facility includes an accordion feature for additional borrowing of up to $20 million upon satisfaction of certain conditions.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 $10.0 million; and (ii) the sum of 85% of eligible Canadian receivables, plus 60% of eligible Canadian unbilled receivables, less a reserve amount established by the administrative agent.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June 30, 2026, the Company was in compliance with all applicable provisions of the Credit Agreement.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securing the commitments under the Credit Agreement and the April 20, 2018, October 1, 2020, December 29, 2021 and December 29, 2023 amendments to the Credit Agreement, the Company paid a commitment fee and incurred deferred financing costs totaling $1,039,000, which were capitalized and are being amortized as interest expense over the life of the Credit Facility. Deferred financing costs of $47,000 and $95,000 (net of amortization) as of June 30, 2026, and December 31, 2025, respectively, are presented as long-term assets in the Company’s Consolidated Balance Sheets.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and December 31, 2025, the Company’s outstanding borrowings under the Revolver totaled zero dollars; and unused borrowing capacity available was approximately $20.4 million and $22.2 million, respectively. There were no outstanding borrowings under the Term Loan at June 30, 2026, and December 31, 2025. On May 9, 2024, the Company issued two standby Letters of Credit for $162,000 each from PNC Bank to a Vietnam client to secure certain performance and advance payment guarantees made to the client on an existing fixed price Data and Analytics Services assignment. As of March 21, 2026 the letters of credit expired without payment and will not be renewed.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is currently in discussions with the lenders to extend the maturity of the Credit Agreement. While the extension has not been finalized as of the date of these financial statements, the Company expects the amendment process to be completed during the third quarter of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income (loss) before taxes, as shown in the accompanying Financial Statements, consisted of the following for the three and six months ended June 30, 2026 and 2025:</w:t>
      </w:r>
    </w:p>
    <w:p>
      <w:pPr>
        <w:pStyle w:val="TextBody"/>
        <w:bidi w:val="0"/>
        <w:jc w:val="left"/>
        <w:rPr/>
      </w:pPr>
      <w:r>
        <w:rPr/>
        <w:t> </w:t>
      </w:r>
    </w:p>
    <w:tbl>
      <w:tblPr>
        <w:tblW w:w="7937" w:type="dxa"/>
        <w:jc w:val="left"/>
        <w:tblInd w:w="0" w:type="dxa"/>
        <w:tblLayout w:type="fixed"/>
        <w:tblCellMar>
          <w:top w:w="28" w:type="dxa"/>
          <w:left w:w="28" w:type="dxa"/>
          <w:bottom w:w="28" w:type="dxa"/>
          <w:right w:w="28" w:type="dxa"/>
        </w:tblCellMar>
      </w:tblPr>
      <w:tblGrid>
        <w:gridCol w:w="3526"/>
        <w:gridCol w:w="146"/>
        <w:gridCol w:w="211"/>
        <w:gridCol w:w="481"/>
        <w:gridCol w:w="166"/>
        <w:gridCol w:w="146"/>
        <w:gridCol w:w="211"/>
        <w:gridCol w:w="481"/>
        <w:gridCol w:w="166"/>
        <w:gridCol w:w="146"/>
        <w:gridCol w:w="211"/>
        <w:gridCol w:w="481"/>
        <w:gridCol w:w="166"/>
        <w:gridCol w:w="146"/>
        <w:gridCol w:w="211"/>
        <w:gridCol w:w="631"/>
        <w:gridCol w:w="4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Domestic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foreign subsidiaries that generate revenues from non-U.S.-based clients and provide services to the Company’s U.S. operations. As a result, a portion of the Company's earnings is subject to the foreign tax jurisdictions, which may have tax rates that differ from those in the United States.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provision (benefit) for income taxes, as shown in the accompanying Financial Statements, consisted of the following for the three and six months ended June 30, 2026 and 2025:</w:t>
      </w:r>
    </w:p>
    <w:p>
      <w:pPr>
        <w:pStyle w:val="TextBody"/>
        <w:bidi w:val="0"/>
        <w:jc w:val="left"/>
        <w:rPr/>
      </w:pPr>
      <w:r>
        <w:rPr/>
        <w:t> </w:t>
      </w:r>
    </w:p>
    <w:tbl>
      <w:tblPr>
        <w:tblW w:w="7877" w:type="dxa"/>
        <w:jc w:val="left"/>
        <w:tblInd w:w="0" w:type="dxa"/>
        <w:tblLayout w:type="fixed"/>
        <w:tblCellMar>
          <w:top w:w="28" w:type="dxa"/>
          <w:left w:w="28" w:type="dxa"/>
          <w:bottom w:w="28" w:type="dxa"/>
          <w:right w:w="28" w:type="dxa"/>
        </w:tblCellMar>
      </w:tblPr>
      <w:tblGrid>
        <w:gridCol w:w="3496"/>
        <w:gridCol w:w="146"/>
        <w:gridCol w:w="211"/>
        <w:gridCol w:w="421"/>
        <w:gridCol w:w="166"/>
        <w:gridCol w:w="146"/>
        <w:gridCol w:w="211"/>
        <w:gridCol w:w="481"/>
        <w:gridCol w:w="166"/>
        <w:gridCol w:w="146"/>
        <w:gridCol w:w="211"/>
        <w:gridCol w:w="481"/>
        <w:gridCol w:w="166"/>
        <w:gridCol w:w="146"/>
        <w:gridCol w:w="211"/>
        <w:gridCol w:w="481"/>
        <w:gridCol w:w="5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reconciliation of income taxes computed using the statutory U.S. income tax rate and the provision (benefit) for income taxes for the three and six months ended June 30, 2026 and 2025, were as follows (amounts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33"/>
        <w:gridCol w:w="205"/>
        <w:gridCol w:w="320"/>
        <w:gridCol w:w="571"/>
        <w:gridCol w:w="252"/>
        <w:gridCol w:w="222"/>
        <w:gridCol w:w="295"/>
        <w:gridCol w:w="736"/>
        <w:gridCol w:w="434"/>
        <w:gridCol w:w="205"/>
        <w:gridCol w:w="308"/>
        <w:gridCol w:w="550"/>
        <w:gridCol w:w="242"/>
        <w:gridCol w:w="213"/>
        <w:gridCol w:w="213"/>
        <w:gridCol w:w="682"/>
        <w:gridCol w:w="324"/>
      </w:tblGrid>
      <w:tr>
        <w:trPr/>
        <w:tc>
          <w:tcPr>
            <w:tcW w:w="44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(Amounts in thousands)</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computed at the federal statutory rate</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tax benefit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shortfalls</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executive compensation</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in income tax rate on foreign</w:t>
              <w:br/>
              <w:t>   earnings/other</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88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 for the Three months period ended June 30, 2026 is not comparable with June 30, 2025 on account of near break-even pre-tax loss during the three months period ended June 30, 2026.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97" w:type="dxa"/>
        <w:jc w:val="left"/>
        <w:tblInd w:w="0" w:type="dxa"/>
        <w:tblLayout w:type="fixed"/>
        <w:tblCellMar>
          <w:top w:w="28" w:type="dxa"/>
          <w:left w:w="28" w:type="dxa"/>
          <w:bottom w:w="28" w:type="dxa"/>
          <w:right w:w="28" w:type="dxa"/>
        </w:tblCellMar>
      </w:tblPr>
      <w:tblGrid>
        <w:gridCol w:w="4246"/>
        <w:gridCol w:w="146"/>
        <w:gridCol w:w="211"/>
        <w:gridCol w:w="421"/>
        <w:gridCol w:w="146"/>
        <w:gridCol w:w="146"/>
        <w:gridCol w:w="146"/>
        <w:gridCol w:w="466"/>
        <w:gridCol w:w="271"/>
        <w:gridCol w:w="146"/>
        <w:gridCol w:w="211"/>
        <w:gridCol w:w="481"/>
        <w:gridCol w:w="166"/>
        <w:gridCol w:w="146"/>
        <w:gridCol w:w="146"/>
        <w:gridCol w:w="526"/>
        <w:gridCol w:w="376"/>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computed at the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shortfalls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executive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in income tax rate on foreign</w:t>
              <w:br/>
              <w:t>   earnings/other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effective tax rate for the three months ended June 30, 2026, was significantly greater than (100)% due to non-deductible executive compensation and excess tax expense arising from stock-based compensation combined with a near break-even pre-tax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June 30, 2025, the Company maintained a valuation allowance of approximately $452,000 against net operating losses in Ireland and the United Kingdom that may not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Shareholders’ Equity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February 16, 2026, the Board of Directors authorized a new share repurchase program under which the Company may repurchase up to $5.0 million of its outstanding common stock. Repurchases under the program may be made from time to time through privately negotiated transactions, block purchases, or other means, and the program may be modified, suspended, or terminated at any time at the discretion of the Board. The timing and amount of repurchases, if any, will depend on business, market, and economic conditions, as well as other factors. No repurchases were made under this program during the three and six months ended June 30,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the Company may repurchase shares from time to time to satisfy employee tax withholding obligations related to its Stock Incentive Plan. The Company did not repurchase any shares for this purpose during the three and six months ended June 30, 2026.</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Earnings (Loss) Per Share </w:t>
      </w:r>
    </w:p>
    <w:p>
      <w:pPr>
        <w:pStyle w:val="TextBody"/>
        <w:bidi w:val="0"/>
        <w:spacing w:before="120" w:after="283"/>
        <w:ind w:left="0" w:right="0" w:firstLine="49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computation of basic earnings (loss) per share is based on the Company's net income (loss) divided by the weighted average number of common shares outstanding. Diluted earnings (loss) per share reflect the potential dilution that could occur if outstanding stock options were exercised or restricted stock awards, or units settled, calculated using the treasury stock method. Options and unvested restricted stock awards or units that would have an anti-dilutive effect are excluded from the computation of diluted earnings (loss) per share.</w:t>
      </w:r>
    </w:p>
    <w:tbl>
      <w:tblPr>
        <w:tblW w:w="8632" w:type="dxa"/>
        <w:jc w:val="left"/>
        <w:tblInd w:w="0" w:type="dxa"/>
        <w:tblLayout w:type="fixed"/>
        <w:tblCellMar>
          <w:top w:w="28" w:type="dxa"/>
          <w:left w:w="28" w:type="dxa"/>
          <w:bottom w:w="28" w:type="dxa"/>
          <w:right w:w="28" w:type="dxa"/>
        </w:tblCellMar>
      </w:tblPr>
      <w:tblGrid>
        <w:gridCol w:w="3631"/>
        <w:gridCol w:w="146"/>
        <w:gridCol w:w="211"/>
        <w:gridCol w:w="676"/>
        <w:gridCol w:w="166"/>
        <w:gridCol w:w="146"/>
        <w:gridCol w:w="211"/>
        <w:gridCol w:w="676"/>
        <w:gridCol w:w="146"/>
        <w:gridCol w:w="146"/>
        <w:gridCol w:w="211"/>
        <w:gridCol w:w="676"/>
        <w:gridCol w:w="146"/>
        <w:gridCol w:w="146"/>
        <w:gridCol w:w="211"/>
        <w:gridCol w:w="676"/>
        <w:gridCol w:w="4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basic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diluted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Business Segments and Geographic Information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Beginning January 1, 2026, the Company reports its operations through two reportable segments: Talent and Data &amp; AI. This change reflects a realignment of the Company’s internal management and reporting structure under its operating strategy, whereby the Chief Operating Decision Maker evaluates operating performance and allocates resources based on these two segments. Prior-period segment information has been recast to conform to the current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Data &amp; AI segment consists of direct client engagements that are managed as services-led accounts. These offerings include data management and analytics, digital transformation consulting, AI and Industry Solutions, staffing to direct customers, data engineering and IT services, and managed services. Engagements are typically project-based and may be structured as time-and-material or fixed-price arrangements and delivered using a combination of on-site and offshore resources.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and system integrators that are managed as staffing-only engagements. Substantially all revenue within this segment is recognized over time as services are performed, generally based on hours worked.</w:t>
      </w:r>
    </w:p>
    <w:p>
      <w:pPr>
        <w:pStyle w:val="TextBody"/>
        <w:bidi w:val="0"/>
        <w:spacing w:before="120" w:after="283"/>
        <w:ind w:left="0" w:right="0" w:firstLine="490"/>
        <w:jc w:val="left"/>
        <w:rPr/>
      </w:pPr>
      <w:r>
        <w:rPr/>
        <w:t> </w:t>
      </w:r>
    </w:p>
    <w:tbl>
      <w:tblPr>
        <w:tblW w:w="8897" w:type="dxa"/>
        <w:jc w:val="left"/>
        <w:tblInd w:w="0" w:type="dxa"/>
        <w:tblLayout w:type="fixed"/>
        <w:tblCellMar>
          <w:top w:w="28" w:type="dxa"/>
          <w:left w:w="28" w:type="dxa"/>
          <w:bottom w:w="28" w:type="dxa"/>
          <w:right w:w="28" w:type="dxa"/>
        </w:tblCellMar>
      </w:tblPr>
      <w:tblGrid>
        <w:gridCol w:w="3236"/>
        <w:gridCol w:w="146"/>
        <w:gridCol w:w="211"/>
        <w:gridCol w:w="676"/>
        <w:gridCol w:w="271"/>
        <w:gridCol w:w="146"/>
        <w:gridCol w:w="211"/>
        <w:gridCol w:w="676"/>
        <w:gridCol w:w="271"/>
        <w:gridCol w:w="146"/>
        <w:gridCol w:w="211"/>
        <w:gridCol w:w="676"/>
        <w:gridCol w:w="271"/>
        <w:gridCol w:w="146"/>
        <w:gridCol w:w="211"/>
        <w:gridCol w:w="676"/>
        <w:gridCol w:w="716"/>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19,561</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Total cost of revenues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70,702</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Total gross profit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Total gross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&amp;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sales &amp;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902" w:type="dxa"/>
        <w:jc w:val="left"/>
        <w:tblInd w:w="0" w:type="dxa"/>
        <w:tblLayout w:type="fixed"/>
        <w:tblCellMar>
          <w:top w:w="28" w:type="dxa"/>
          <w:left w:w="28" w:type="dxa"/>
          <w:bottom w:w="28" w:type="dxa"/>
          <w:right w:w="28" w:type="dxa"/>
        </w:tblCellMar>
      </w:tblPr>
      <w:tblGrid>
        <w:gridCol w:w="3891"/>
        <w:gridCol w:w="146"/>
        <w:gridCol w:w="211"/>
        <w:gridCol w:w="571"/>
        <w:gridCol w:w="166"/>
        <w:gridCol w:w="146"/>
        <w:gridCol w:w="211"/>
        <w:gridCol w:w="571"/>
        <w:gridCol w:w="166"/>
        <w:gridCol w:w="146"/>
        <w:gridCol w:w="211"/>
        <w:gridCol w:w="676"/>
        <w:gridCol w:w="166"/>
        <w:gridCol w:w="146"/>
        <w:gridCol w:w="211"/>
        <w:gridCol w:w="676"/>
        <w:gridCol w:w="59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operations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&amp;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general &amp;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and accounting transition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Severance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(expense), FX, gains (losses)</w:t>
              <w:br/>
              <w: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Below is geographic information related to our revenues from external customers: </w:t>
      </w:r>
    </w:p>
    <w:p>
      <w:pPr>
        <w:pStyle w:val="TextBody"/>
        <w:bidi w:val="0"/>
        <w:jc w:val="left"/>
        <w:rPr/>
      </w:pPr>
      <w:r>
        <w:rPr/>
        <w:t> </w:t>
      </w:r>
    </w:p>
    <w:tbl>
      <w:tblPr>
        <w:tblW w:w="6482" w:type="dxa"/>
        <w:jc w:val="left"/>
        <w:tblInd w:w="0" w:type="dxa"/>
        <w:tblLayout w:type="fixed"/>
        <w:tblCellMar>
          <w:top w:w="28" w:type="dxa"/>
          <w:left w:w="28" w:type="dxa"/>
          <w:bottom w:w="28" w:type="dxa"/>
          <w:right w:w="28" w:type="dxa"/>
        </w:tblCellMar>
      </w:tblPr>
      <w:tblGrid>
        <w:gridCol w:w="1521"/>
        <w:gridCol w:w="146"/>
        <w:gridCol w:w="211"/>
        <w:gridCol w:w="676"/>
        <w:gridCol w:w="146"/>
        <w:gridCol w:w="146"/>
        <w:gridCol w:w="211"/>
        <w:gridCol w:w="676"/>
        <w:gridCol w:w="146"/>
        <w:gridCol w:w="146"/>
        <w:gridCol w:w="211"/>
        <w:gridCol w:w="676"/>
        <w:gridCol w:w="146"/>
        <w:gridCol w:w="146"/>
        <w:gridCol w:w="211"/>
        <w:gridCol w:w="676"/>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does not disclose total assets by reportable segment, as such information is not regularly provided to the Company’s Chief Operating Decision Maker (“CODM”). A significant portion of the Company’s assets is utilized across both segments and is not specifically attributable to individual segments.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Recently Issued Accounting Standards </w:t>
      </w:r>
    </w:p>
    <w:p>
      <w:pPr>
        <w:pStyle w:val="TextBody"/>
        <w:bidi w:val="0"/>
        <w:spacing w:before="120" w:after="283"/>
        <w:jc w:val="left"/>
        <w:rPr>
          <w:rFonts w:ascii="Times New Roman" w:hAnsi="Times New Roman"/>
          <w:sz w:val="20"/>
        </w:rPr>
      </w:pPr>
      <w:r>
        <w:rPr>
          <w:rFonts w:ascii="Times New Roman" w:hAnsi="Times New Roman"/>
          <w:b/>
          <w:i/>
          <w:color w:val="000000"/>
          <w:sz w:val="20"/>
        </w:rPr>
        <w:t>Recent Accounting Pronouncements not yet adopted</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 – Reporting Comprehensive Income – Expense Disaggregation Disclosures (Subtopic 220-40): 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is evaluating the impact of the ASU on its financial disclosures. </w:t>
      </w:r>
    </w:p>
    <w:p>
      <w:pPr>
        <w:pStyle w:val="TextBody"/>
        <w:bidi w:val="0"/>
        <w:spacing w:before="240" w:after="283"/>
        <w:ind w:left="0" w:right="0" w:firstLine="49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July 2025, the FASB issued ASU 2025-05, “Financial Instruments—Credit Losses (Topic 326): Measurement of Credit Losses for Accounts Receivable and Contract Assets.” The amendments in this ASU introduce a practical expedient for all entities and provide entities other than public business entities with an accounting policy election when applying Topic 326 to current accounts receivable and contract assets arising from transactions under Topic 606, Revenue from Contracts with Customers. The practical expedient is intended to simplify the estimation of expected credit losses for short-term trade receivables and contract assets when such losses are expected to be immaterial. The amendments are effective for fiscal years beginning after December 15, 2025, including interim periods within those fiscal years. Early adoption is permitted. The Company adopted ASU 2025-05 on January 1, 2026. The adoption did not have a material impact on the Company's condensed consolidated financial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You should read the following discussion in conjunction with our audited consolidated financial statements and accompanying notes for the year ended December 31, 2025, included in our Annual Report on Form 10-K, filed with the Securities and Exchange Commission (“SEC”) on March 18,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2025.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pStyle w:val="TextBody"/>
        <w:bidi w:val="0"/>
        <w:spacing w:before="360" w:after="283"/>
        <w:ind w:left="245" w:right="0" w:hanging="0"/>
        <w:jc w:val="left"/>
        <w:rPr>
          <w:rFonts w:ascii="Times New Roman" w:hAnsi="Times New Roman"/>
          <w:sz w:val="20"/>
        </w:rPr>
      </w:pPr>
      <w:r>
        <w:rPr>
          <w:rFonts w:ascii="Times New Roman" w:hAnsi="Times New Roman"/>
          <w:b/>
          <w:i/>
          <w:color w:val="000000"/>
          <w:sz w:val="20"/>
        </w:rPr>
        <w:t>Website Access to SEC Reports: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website is www.mastechdigital.com. The Company’s Annual Report on Form 10-K for the year ended December 31, 2025, current reports on Form 8-K and all other reports filed with the SEC, are available free of charge on the Investors page. The website is updated as soon as reasonably practical after such reports are filed electronically with the SEC.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Critical Accounting Policies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2025 for a more detailed discussion of our significant accounting policies and critical accounting estimates. There were no material changes to these critical accounting policies during the six months ended June 30, 2026.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2024 Primentor, Inc. Consulting Agreement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January 12, 2024, the Company entered into a consulting services agreement with Primentor, Inc. (“Primentor”) under which Primentor provides to the Company strategic advisory and management consulting services, as well as other business and organizational strategy services as requested by the Company’s Board of Directors. The initial term of the agreement is three years, commencing on January 12, 2024. The Company may elect to renew the agreement for successive one-year terms, subject to mutual agreement with Primentor regarding the scope of services and related fees.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2024 and 2025, the Company incurred consulting expenses of approximately $1.1 million and $0.3 million, respectively. The Company expects to incur approximately $0.2 million in consulting expenses during 2026, plus reimbursement of reasonable and documented out-of-pocket expenses incurred by Primentor in rendering such services.</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Transition of the Company’s finance and accounting functions to India:</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first quarter of 2025, the Company’s Board of Directors made the decision to implement a long-term cost-cutting initiative to transition the Company’s finance and accounting functions to India. During 2025, the Company incurred $1.2 million of severance costs and $0.7 million of costs related to the duplication of resources and travel expenses during the training and knowledge transfer process. The transition was completed as of December 31, 2025.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a provider of digital transformation IT services to primarily large and medium-sized organizations. Our portfolio combines project-based professional services with flexible staffing solutions to support our clients’ evolving digital and technology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needs.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Effective January 1, 2026, we realigned our reporting structure and now operate through two reportable segments: Talent and Data &amp; AI. This change reflects how management evaluates performance and allocates resources across our core offerings. Prior-period information has been recast to conform to the current presentation.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Data &amp; AI segment is focused on delivering consulting and managed services engagements that help clients design, build, and optimize their data and digital platforms. These offerings are typically delivered on a project or managed services basis and leverage a combination of on-site and offshore delivery capabilities. Our Data &amp; AI capabilities have been developed both organically and through acquisitions, including InfoTrellis in 2017, which expanded our data and analytics expertise, and AmberLeaf in 2020, which strengthened our customer experience and managed services offerings.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Talent segment provides staffing solutions that enable clients to access skilled technology professionals across a broad range of digital and mainstream IT disciplines. These engagements include both direct client relationships and intermediated arrangements through managed service providers and systems integrators. This segment allows clients to scale their technology teams efficiently while maintaining flexibility in response to changing business conditions.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Across both segments, we serve a diversified set of industries, including financial services, government, healthcare, manufacturing, retail, technology, telecommunications, and transportation. Our client base includes organizations with ongoing technology investment needs, as well as those undertaking discrete digital transformation initiatives.</w:t>
      </w:r>
    </w:p>
    <w:p>
      <w:pPr>
        <w:pStyle w:val="TextBody"/>
        <w:bidi w:val="0"/>
        <w:spacing w:before="360" w:after="283"/>
        <w:ind w:left="245" w:right="0" w:hanging="0"/>
        <w:jc w:val="left"/>
        <w:rPr>
          <w:rFonts w:ascii="Times New Roman" w:hAnsi="Times New Roman"/>
          <w:sz w:val="20"/>
        </w:rPr>
      </w:pPr>
      <w:r>
        <w:rPr>
          <w:rFonts w:ascii="Times New Roman" w:hAnsi="Times New Roman"/>
          <w:b/>
          <w:i/>
          <w:color w:val="000000"/>
          <w:sz w:val="20"/>
        </w:rPr>
        <w:t>Data &amp; AI Segment:</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provide information regarding new bookings within our Data &amp; AI segment, which represents the estimated value of client engagements, including renewals and extensions of existing contracts. We believe this metric provides useful insight into trends in the volume of new business over time. New bookings can vary significantly from period to period due to the timing of contract awards, particularly for larger engagements. The conversion of bookings into revenue is influenced by several factors, including the nature and scope of services, contract duration, and the pace of client spending. Additionally, substantially all of our client contracts are terminable by the client on short notice, with little or no termination penalties. New bookings involve estimates and judgments, and there are no third-party standards governing their calculation. Accordingly, bookings should not be considered a substitute for, or comparable to, revenue measures. We do not update previously reported bookings for subsequent contract modifications, terminations, or reductions.</w:t>
      </w:r>
    </w:p>
    <w:p>
      <w:pPr>
        <w:pStyle w:val="TextBody"/>
        <w:bidi w:val="0"/>
        <w:spacing w:before="360" w:after="283"/>
        <w:ind w:left="245" w:right="0" w:hanging="0"/>
        <w:jc w:val="left"/>
        <w:rPr>
          <w:rFonts w:ascii="Times New Roman" w:hAnsi="Times New Roman"/>
          <w:sz w:val="20"/>
        </w:rPr>
      </w:pPr>
      <w:r>
        <w:rPr>
          <w:rFonts w:ascii="Times New Roman" w:hAnsi="Times New Roman"/>
          <w:b/>
          <w:i/>
          <w:color w:val="000000"/>
          <w:sz w:val="20"/>
        </w:rPr>
        <w:t>Economic Trends and Outlook:</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business outlook is influenced by general economic conditions in North America and globally. Demand for our services, particularly within the Talent segment, is closely tied to employment levels, corporate spending, and overall economic activity. Periods of economic expansion typically lead to increased demand for our services, while periods of economic uncertainty or contraction may result in reduced client spending. In recent periods, economic conditions have been characterized by ongoing uncertainty, including inflationary pressures, interest rate volatility, and evolving trade and immigration policies. These dynamics have contributed to longer client decision-making cycles and more cautious spending patterns.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significant portion of our revenues is generated from a limited number of clients. As a result, our operating results may be impacted by the financial condition and spending patterns of these clients, which may cause our performance to differ from broader market trends.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Within the Talent segment, a meaningful portion of revenues is generated through relationships with systems integrators and managed service providers (“MSPs”). These arrangements may exert pressure on pricing and margins over time.</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for the Three Months Ended June 30, 2026 as Compared to the Three Months Ended June 30, 2025:</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Revenues for the three months ended June 30, 2026 totaled $41.4 million, compared to $49.1 million for the corresponding three-month period in 2025. This 15.6% year-over-year revenue decrease reflected a 16.2% revenue decrease in our Talent segment and a 14.3% decline in our Data &amp; AI segment. For the three months ended June 30, 2026, the Company had one client that had revenues in excess of 10% of total revenues (Fidelity 26.7%). For the three months ended June 30, 2025, the Company had three clients that each had revenues in excess of 10% of total revenues (Fidelity = 15.0%, Populus = 12.4% and CGI = 11.0%).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Company’s top ten clients represented approximately 61% and 58% of total revenues for the three months ended June 30, 2026 and 2025, respectively.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Below is a tabular presentation of revenues by reportable segment for the three months ended June 30, 2026 and 2025, respectively: </w:t>
      </w:r>
    </w:p>
    <w:p>
      <w:pPr>
        <w:pStyle w:val="TextBody"/>
        <w:bidi w:val="0"/>
        <w:jc w:val="left"/>
        <w:rPr/>
      </w:pPr>
      <w:r>
        <w:rPr/>
        <w:t> </w:t>
      </w:r>
    </w:p>
    <w:tbl>
      <w:tblPr>
        <w:tblW w:w="6425" w:type="dxa"/>
        <w:jc w:val="left"/>
        <w:tblInd w:w="0" w:type="dxa"/>
        <w:tblLayout w:type="fixed"/>
        <w:tblCellMar>
          <w:top w:w="28" w:type="dxa"/>
          <w:left w:w="28" w:type="dxa"/>
          <w:bottom w:w="28" w:type="dxa"/>
          <w:right w:w="28" w:type="dxa"/>
        </w:tblCellMar>
      </w:tblPr>
      <w:tblGrid>
        <w:gridCol w:w="2386"/>
        <w:gridCol w:w="146"/>
        <w:gridCol w:w="500"/>
        <w:gridCol w:w="1105"/>
        <w:gridCol w:w="146"/>
        <w:gridCol w:w="146"/>
        <w:gridCol w:w="500"/>
        <w:gridCol w:w="1105"/>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Revenues (Amounts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Revenues from our Data &amp; AI segment totaled $13.5 million in the three months ended June 30, 2026, which decreased compared to $15.7 million in the corresponding period last year. The year-over-year decrease in revenues primarily reflects lower bookings during the second half of 2025, which resulted in a smaller pipeline of revenue generating engagements entering 2026. New bookings in the second quarter of 2026 totaled approximately $13.6 million, compared to bookings of $9.0 million in the second quarter of 2025, reflecting stronger demand for Data &amp; AI services.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Revenues from our Talent segment totaled $28.0 million in the three months ended June 30, 2026, compared to $33.4 million during the corresponding 2025 period. The year-over-year decline in revenue primarily reflects lower billable consultants in 2026. Billable consultants at June 30, 2026 totaled 594-consultants compared to 764-consultants one year earlier. Our average bill rate during the second quarter of 2026 was $92.17 per hour compared to $88.36 per hour in the corresponding 2025 quarter. The increase in average bill rate was due to higher value assignments during the second quarter of 2026 and was reflective of the types of skill sets that we deployed to clients.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Gross Margins:</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Gross profits in the second quarter of 2026 totaled $12.0 million, which was $1.8 million lower than the second quarter of 2025 gross profits. Gross profit as a percentage of revenue increased 90-basis points to 29.0% for the three-month period ended June 30, 2026, compared to 28.1% during the same period of 2025, driven by higher margins in both the Talent and Data &amp; AI segments.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Below is a tabular presentation of gross margin by reporting segment for the three months ended June 30, 2026 and 2025, respectively: </w:t>
      </w:r>
    </w:p>
    <w:p>
      <w:pPr>
        <w:pStyle w:val="TextBody"/>
        <w:bidi w:val="0"/>
        <w:jc w:val="left"/>
        <w:rPr/>
      </w:pPr>
      <w:r>
        <w:rPr/>
        <w:t> </w:t>
      </w:r>
    </w:p>
    <w:tbl>
      <w:tblPr>
        <w:tblW w:w="6125" w:type="dxa"/>
        <w:jc w:val="left"/>
        <w:tblInd w:w="0" w:type="dxa"/>
        <w:tblLayout w:type="fixed"/>
        <w:tblCellMar>
          <w:top w:w="28" w:type="dxa"/>
          <w:left w:w="28" w:type="dxa"/>
          <w:bottom w:w="28" w:type="dxa"/>
          <w:right w:w="28" w:type="dxa"/>
        </w:tblCellMar>
      </w:tblPr>
      <w:tblGrid>
        <w:gridCol w:w="1836"/>
        <w:gridCol w:w="146"/>
        <w:gridCol w:w="382"/>
        <w:gridCol w:w="1223"/>
        <w:gridCol w:w="271"/>
        <w:gridCol w:w="146"/>
        <w:gridCol w:w="382"/>
        <w:gridCol w:w="1223"/>
        <w:gridCol w:w="516"/>
      </w:tblGrid>
      <w:tr>
        <w:trPr/>
        <w:tc>
          <w:tcPr>
            <w:tcW w:w="1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Gross margins from our Data &amp; AI segment were 40.4% of revenues during the second quarter of 2026, which represented an increase of 140-basis points compared to 39.0% of revenues during the second quarter of 2025. The increase primarily reflected the one-time recognition of previously deferred revenue associated with the completion of a project milestone.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Gross margins from our Talent segment were 23.4% in the second quarter of 2026 compared to 23.0% during the corresponding quarter of 2025. This 40-basis point increase was due to higher quality placements and better pricing on new assignments in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 (“SG&amp;A”) Expenses: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Below is a tabular presentation of operating expenses by expense category for the three months ended June 30, 2026 and 2025, respectively: </w:t>
      </w:r>
    </w:p>
    <w:p>
      <w:pPr>
        <w:pStyle w:val="TextBody"/>
        <w:bidi w:val="0"/>
        <w:jc w:val="left"/>
        <w:rPr/>
      </w:pPr>
      <w:r>
        <w:rPr/>
        <w:t> </w:t>
      </w:r>
    </w:p>
    <w:tbl>
      <w:tblPr>
        <w:tblW w:w="7775" w:type="dxa"/>
        <w:jc w:val="left"/>
        <w:tblInd w:w="0" w:type="dxa"/>
        <w:tblLayout w:type="fixed"/>
        <w:tblCellMar>
          <w:top w:w="28" w:type="dxa"/>
          <w:left w:w="28" w:type="dxa"/>
          <w:bottom w:w="28" w:type="dxa"/>
          <w:right w:w="28" w:type="dxa"/>
        </w:tblCellMar>
      </w:tblPr>
      <w:tblGrid>
        <w:gridCol w:w="3736"/>
        <w:gridCol w:w="146"/>
        <w:gridCol w:w="500"/>
        <w:gridCol w:w="1105"/>
        <w:gridCol w:w="146"/>
        <w:gridCol w:w="146"/>
        <w:gridCol w:w="500"/>
        <w:gridCol w:w="1105"/>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SG&amp;A Expenses (Amounts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Data &amp; AI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&amp;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Subtotal 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Talent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&amp;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Subtotal Talent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and Accounting Transition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SG&amp;A expenses for the three months ended June 30, 2026, totaled $12.3 million or 29.7% of total revenues, compared to $13.8 million or 28.1% of total revenues for the three months ended June 30, 2025. When excluding the amortization of acquired intangible assets in 2026 and the amortization of acquired intangible assets, severance expense and finance and accounting transition expense in 2025, SG&amp;A expense as a percentage of total revenues was 28.3% and 24.8%,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Fluctuations within SG&amp;A expense components during the second quarter of 2026, compared to the second quarter of 2025, included the following: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 decreased by $0.8 million from the corresponding 2025 period. Sales and marketing expense in our Data &amp; AI segment increased by $0.2 million, primarily reflecting higher marketing travel costs. Sales and marketing expense in our Talent segment decreased by $1.0 million, primarily due to lower payroll and related costs and reduced marketing expenditures.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expenses increased by $0.3 million in the 2026 period compared to the corresponding 2025 period. Operations expense increased by $0.5 million in our Data &amp; AI segment due to AI-related personnel investments and decreased by $0.2 million in our Talent segment due to lower payroll costs, partially offset by higher legal expense.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$0.1 million in the 2026 period compared to the corresponding 2025 period. General and administrative expenses in the Data &amp; AI segment remained unchanged compared with the prior-year period. General and administrative expense in the Talent segment decreased by $0.1 million, primarily reflecting lower consulting costs.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acquired intangible assets remained consistent with the prior-year period at $0.6 million.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and accounting transition expense was $0.7 million and severance expense was $0.2 million in the 2025 period, compared to no expense in the second quarter of 2026. These costs related to the Company's transition of its finance and accounting function to India and consisted primarily of severance, duplicate personnel costs during the transition period, and travel associated with training and knowledge transfer.</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Other Income / (Expense) Components: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 (Expense) for the three months ended June 30, 2026, consisted of interest income of $260,000 and foreign exchange gains of $63,000. For the three months ended June 30, 2025, Other Income / (Expense) consisted of interest income of $190,000 and foreign exchange losses of ($7,000). The higher level of interest income primarily reflected higher average cash balances during the current-year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ind w:left="245" w:right="0" w:hanging="0"/>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Income tax expense for the three months ended June 30, 2026, totaled $98,000, compared with income tax expense of $75,000 for the three months ended June 30, 2025. The 2026 effective tax rate was significantly greater than (100%) due to non-deductible executive compensation and excess tax expense arising from stock-based compensation, combined with a near break-even pre-tax loss. By comparison, the effective tax rate for the three months ended June 30, 2025 was 35.7%.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for the Six Months Ended June 30, 2026 as Compared to the Six Months Ended June 30, 2025:</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Revenues for the six months ended June 30, 2026 totaled $82.5 million, compared to $97.4 million for the corresponding six-month period in 2025. This 15.3% year-over-year revenue decrease reflected a 14.0% revenue decrease in our Talent segment and a 17.9% decline in our Data &amp; AI segment. For the six months ended June 30, 2026 the Company had one client that had revenues in excess of 10% of total revenues (Fidelity 25.6%). For the six months ended June 30, 2025, the Company had three clients that each had revenues in excess of 10% of total revenues (Fidelity = 14.0%, Populus = 12.1% and CGI = 11.5%). The Company’s top ten clients represented approximately 60% and 58% of total revenues for the six months ended June 30, 2026 and 2025, respectively.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Below is a tabular presentation of revenues by reportable segment for the six months ended June 30, 2026 and 2025, respectively: </w:t>
      </w:r>
    </w:p>
    <w:p>
      <w:pPr>
        <w:pStyle w:val="TextBody"/>
        <w:bidi w:val="0"/>
        <w:jc w:val="left"/>
        <w:rPr/>
      </w:pPr>
      <w:r>
        <w:rPr/>
        <w:t> </w:t>
      </w:r>
    </w:p>
    <w:tbl>
      <w:tblPr>
        <w:tblW w:w="6035" w:type="dxa"/>
        <w:jc w:val="left"/>
        <w:tblInd w:w="0" w:type="dxa"/>
        <w:tblLayout w:type="fixed"/>
        <w:tblCellMar>
          <w:top w:w="28" w:type="dxa"/>
          <w:left w:w="28" w:type="dxa"/>
          <w:bottom w:w="28" w:type="dxa"/>
          <w:right w:w="28" w:type="dxa"/>
        </w:tblCellMar>
      </w:tblPr>
      <w:tblGrid>
        <w:gridCol w:w="2386"/>
        <w:gridCol w:w="146"/>
        <w:gridCol w:w="439"/>
        <w:gridCol w:w="971"/>
        <w:gridCol w:w="146"/>
        <w:gridCol w:w="146"/>
        <w:gridCol w:w="439"/>
        <w:gridCol w:w="971"/>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Revenues (Amounts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Revenues from our Data &amp; AI segment totaled $26.1 million for the six months ended June 30, 2026, which decreased compared to $31.7 million in the corresponding period in 2025. The year-over-year decrease in revenues primarily reflects lower bookings during the second half of 2025, which resulted in a smaller pipeline of revenue-generating engagements entering 2026. Order bookings for the first six months of 2026 totaled approximately $27.2 million, compared with $24.3 million for the corresponding period in 2025, reflecting stronger demand for Data &amp; AI services.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Revenues from our Talent segment totaled $56.5 million in the six months ended June 30, 2026, compared to $65.7 million during the corresponding 2025 period. The year-over-year decline in revenue primarily reflects lower billable consultants in 2026. Billable consultants at June 30, 2026 totaled 594-consultants compared to 764-consultants one year earlier.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Gross Margins:</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Gross profits in the six months ended June 30, 2026 totaled $23.0 million compared to $26.7 million in the corresponding period last year. Gross profit as a percentage of revenue was 27.9% for the six months ended June 30, 2026, compared to 27.4% during the same period of 2025. This 50-basis point increase in gross margins was driven by higher margins in both the Talent and Data &amp; AI segments. </w:t>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Below is a tabular presentation of gross margin by reporting segment for the six months ended June 30, 2026 and 2025, respectively: </w:t>
      </w:r>
    </w:p>
    <w:p>
      <w:pPr>
        <w:pStyle w:val="TextBody"/>
        <w:bidi w:val="0"/>
        <w:jc w:val="left"/>
        <w:rPr/>
      </w:pPr>
      <w:r>
        <w:rPr/>
        <w:t> </w:t>
      </w:r>
    </w:p>
    <w:tbl>
      <w:tblPr>
        <w:tblW w:w="5735" w:type="dxa"/>
        <w:jc w:val="left"/>
        <w:tblInd w:w="0" w:type="dxa"/>
        <w:tblLayout w:type="fixed"/>
        <w:tblCellMar>
          <w:top w:w="28" w:type="dxa"/>
          <w:left w:w="28" w:type="dxa"/>
          <w:bottom w:w="28" w:type="dxa"/>
          <w:right w:w="28" w:type="dxa"/>
        </w:tblCellMar>
      </w:tblPr>
      <w:tblGrid>
        <w:gridCol w:w="1836"/>
        <w:gridCol w:w="146"/>
        <w:gridCol w:w="336"/>
        <w:gridCol w:w="1074"/>
        <w:gridCol w:w="271"/>
        <w:gridCol w:w="146"/>
        <w:gridCol w:w="336"/>
        <w:gridCol w:w="1074"/>
        <w:gridCol w:w="516"/>
      </w:tblGrid>
      <w:tr>
        <w:trPr/>
        <w:tc>
          <w:tcPr>
            <w:tcW w:w="1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Gross margins from our Data &amp; AI segment were 38.9% of revenues during the six months ended June 30, 2026, which represented an increase of 50-basis points compared to 38.4% of revenues during corresponding period of 2025. The increase primarily reflected normal fluctuations in project mix and engagement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Gross margins from our Talent segment were 22.8% in the six months ended June 30, 2026, compared to 22.1% during the corresponding period of 2025. This 70-basis point increase was due to higher quality placements and better pricing on new assignments in 2026.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 (“SG&amp;A”) Expenses: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Below is a tabular presentation of operating expenses by expense category for the six months ended June 30, 2026 and 2025, respectively: </w:t>
      </w:r>
    </w:p>
    <w:p>
      <w:pPr>
        <w:pStyle w:val="TextBody"/>
        <w:bidi w:val="0"/>
        <w:jc w:val="left"/>
        <w:rPr/>
      </w:pPr>
      <w:r>
        <w:rPr/>
        <w:t> </w:t>
      </w:r>
    </w:p>
    <w:tbl>
      <w:tblPr>
        <w:tblW w:w="9425" w:type="dxa"/>
        <w:jc w:val="left"/>
        <w:tblInd w:w="0" w:type="dxa"/>
        <w:tblLayout w:type="fixed"/>
        <w:tblCellMar>
          <w:top w:w="28" w:type="dxa"/>
          <w:left w:w="28" w:type="dxa"/>
          <w:bottom w:w="28" w:type="dxa"/>
          <w:right w:w="28" w:type="dxa"/>
        </w:tblCellMar>
      </w:tblPr>
      <w:tblGrid>
        <w:gridCol w:w="5776"/>
        <w:gridCol w:w="146"/>
        <w:gridCol w:w="439"/>
        <w:gridCol w:w="971"/>
        <w:gridCol w:w="146"/>
        <w:gridCol w:w="146"/>
        <w:gridCol w:w="439"/>
        <w:gridCol w:w="971"/>
        <w:gridCol w:w="39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SG&amp;A Expenses (Amounts in millions; amounts may not sum due to 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Data &amp; AI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&amp;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Subtotal Data &amp; 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Talent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&amp;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Subtotal Talent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and Accounting Transition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SG&amp;A expenses for the six months ended June 30, 2026, totaled $23.3 million or 28.2% of total revenues, compared to $28.5 million or 29.3% of total revenues for the six months ended June 30, 2025. When excluding the amortization of acquired intangible assets in 2026 and the amortization of acquired intangible assets, severance expense and finance and accounting transition expense in 2025, SG&amp;A expense as a percentage of total revenues was 26.8% and 25.6%,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Fluctuations within SG&amp;A expense components during the first six months of 2026, compared to the first six months of 2025, included the following: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 was $2.2 million lower in the 2026 period compared to the corresponding 2025 period. Sales and marketing expense in our Data &amp; AI segment decreased by $0.3 million, primarily due to lower payroll and related costs, partially offset by higher marketing and consulting costs. Sales and marketing expense in our Talent segment decreased by $1.9 million, resulting from lower payroll and related costs, as well as reduced marketing spend.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expenses decreased by $0.1 million in the 2026 period compared to the corresponding 2025 period. Operations expense in the Data &amp; AI segment increased by $0.8 million, primarily due to AI-related personnel investments. Operations expense in the Talent segment decreased by $0.9 million, primarily due to workforce reductions, partially offset by higher legal expenses.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$0.5 million in the 2026 period compared to the corresponding 2025 period. General and administrative expenses in our Data &amp; AI segment decreased by $0.4 million primarily due to lower recruiting costs and the absence of bad debt expense incurred in the prior-year period. In our Talent segment, general and administrative expenses decreased by $0.1 million as a result of several individually immaterial items.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acquired intangible assets decreased by $0.1 million compared with the corresponding period in 2025, as a portion of our intangible assets became fully amortized.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included severance expense and finance and accounting transition expense of $1.6 million and $0.7 million in the 2025 period, respectively, compared to no similar expenses in the 2026 period. The expenses related to the departure of the Company's former Chief Financial Officer and the Company's transition of its finance and accounting function to India which consisted primarily of severance, duplicate personnel costs during the transition period, and travel associated with training and knowledge transfer.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Other Income / (Expense) Components: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 (Expense) for the six months ended June 30, 2026, consisted of interest income of $548,000 and foreign exchange gains of $381,000. For the six months ended June 30, 2025, Other Income / (Expense) consisted of interest income of $305,000 and foreign exchange losses of ($31,000). The higher level of interest income primarily reflected higher average cash balances during the current six month period.</w:t>
      </w:r>
    </w:p>
    <w:p>
      <w:pPr>
        <w:pStyle w:val="TextBody"/>
        <w:bidi w:val="0"/>
        <w:spacing w:before="360" w:after="283"/>
        <w:ind w:left="245" w:right="0" w:hanging="0"/>
        <w:jc w:val="left"/>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Income tax expense for the six months ended June 30, 2026, totaled $491,000, representing an effective tax rate on pre-tax income of 75.0%, compared to an income tax benefit of ($248,000) for the six months ended June 30, 2025, which represented an effective tax rate on a pre-tax loss of (16.0%). The higher effective tax rate in the 2026 period primarily reflected non-deductible executive compensation and unfavorable tax effects associated with stock-based compensation.</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i/>
          <w:color w:val="000000"/>
          <w:sz w:val="20"/>
        </w:rPr>
        <w:t>Financial Conditions and Liquidity: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we had no bank debt, cash balances on hand of $35.6 million and approximately $20.4 million of borrowing capacity under our existing credit facility.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Historically, we have funded our organic business needs with cash generated from operating activities. Controlling our operating working capital levels by closely managing our accounts receivable balance is an important element of cash generation. As of June 30, 2026, our accounts receivable “days sales outstanding” (“DSOs”) increased to 61-days, compared to 53-days reported at June 30, 2025.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cash provided by operating activities, cash balances on hand and current availability under our credit facility will be adequate to fund our business needs and support our share repurchase program that we announced in February 2026 over the next twelve months, absent any acquisition-related activities.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Cash flows provided by (used in) operating activities: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Cash (used in) operating activities for the six months ended June 30, 2026, totaled ($0.9) million compared to $0.4 million provided by operating activities during the six months ended June 30, 2025. Operating cash flows for the 2026 period were driven by net income of $0.2 million, non-cash charges of $4.2 million, and a ($5.3) million use of cash from changes in operating working capital. The use of cash from working capital was primarily attributable to a decrease in accrued payroll and related costs, reflecting the timing of annual bonus payments, as well as an increase in accounts receivable, and to a lesser extent decreases in accounts payable and other accrued liabilities and an increase in prepaid and other current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prior year period, cash provided by operating activities reflected a net loss of ($1.3) million, non-cash charges of $3.3 million, and and a ($1.7) million use of cash from changes in operating working capital, primarily attributable to a decrease in accounts payable and accrued payroll and related costs, partially offset by a decrease in accounts receivable and prepaid and other current assets and an increase in other accrued liabilities.</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Cash flows (used in) investing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(used in) investing activities was ($0.1) million and ($0.2) million the six months ended June 30, 2026 and 2025. Investing activities in both periods consisted primarily of capital expenditures and changes in non-current deposits.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Cash flows provided by (used in) financing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Cash provided by financing activities for the six months ended June 30, 2026 totaled $0.8 million and consisted primarily of proceeds from the exercise of stock options of $0.8 million, and a small amount from the issuance of common shares related to our Employee Stock Purchase Plan. Cash provided by financing activities for the six months ended June 30, 2025, totaled $0.1 million and consisted of proceeds from the exercise of stock options and the issuance of common shares related to our Employee Stock Purchase Plan, partially offset by a small purchase of treasury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ind w:left="245" w:right="0" w:hanging="0"/>
        <w:jc w:val="left"/>
        <w:rPr>
          <w:rFonts w:ascii="Times New Roman" w:hAnsi="Times New Roman"/>
          <w:sz w:val="20"/>
        </w:rPr>
      </w:pPr>
      <w:r>
        <w:rPr>
          <w:rFonts w:ascii="Times New Roman" w:hAnsi="Times New Roman"/>
          <w:i/>
          <w:color w:val="000000"/>
          <w:sz w:val="20"/>
        </w:rPr>
        <w:t>Off-Balance Sheet Arrangements: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does not have any off-balance sheet arrangements.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Inflation: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borrowing costs in the future if we elect to draw on our current or future credit facilities.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refer to “Item 1A. Risk factors” in our 2025 Annual Report on Form 10-K for a discussion about risks that inflation directly or indirectly may pose to our business.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Seasonality: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Recent accounting pronouncements are described in Note 13 to the accompanying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idi w:val="0"/>
        <w:spacing w:before="360" w:after="283"/>
        <w:ind w:left="0" w:right="0" w:hanging="1109"/>
        <w:jc w:val="left"/>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inherent operational risks, the Company is exposed to certain market risks, primarily related to changes in interest rates and currency fluctuations.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we had no outstanding borrowings under the Credit Agreements — Refer to Note 8 — “Credit Facility” in the Notes to Condensed Consolidated Financial Statements, included herein. </w:t>
      </w:r>
    </w:p>
    <w:p>
      <w:pPr>
        <w:pStyle w:val="TextBody"/>
        <w:bidi w:val="0"/>
        <w:spacing w:before="360" w:after="283"/>
        <w:jc w:val="left"/>
        <w:rPr>
          <w:rFonts w:ascii="Times New Roman" w:hAnsi="Times New Roman"/>
          <w:sz w:val="20"/>
        </w:rPr>
      </w:pPr>
      <w:r>
        <w:rPr>
          <w:rFonts w:ascii="Times New Roman" w:hAnsi="Times New Roman"/>
          <w:b/>
          <w:i/>
          <w:color w:val="000000"/>
          <w:sz w:val="20"/>
        </w:rPr>
        <w:t>Currency Fluctuations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six months of 2026 would not have had a material impact on our consolidated financial statements. </w:t>
      </w:r>
    </w:p>
    <w:p>
      <w:pPr>
        <w:pStyle w:val="TextBody"/>
        <w:pBdr/>
        <w:bidi w:val="0"/>
        <w:spacing w:before="360" w:after="283"/>
        <w:ind w:left="0" w:right="0" w:hanging="1109"/>
        <w:jc w:val="left"/>
        <w:rPr>
          <w:rFonts w:ascii="Times New Roman" w:hAnsi="Times New Roman"/>
          <w:sz w:val="20"/>
        </w:rPr>
      </w:pPr>
      <w:bookmarkStart w:id="13" w:name="item_4_controls_and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Disclosure Controls and Procedures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were no changes in the Company’s internal control over financial reporting during the quarter ended June 30, 2026 that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4" w:name="part_ii_other_information"/>
      <w:bookmarkEnd w:id="14"/>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pBdr/>
        <w:bidi w:val="0"/>
        <w:spacing w:before="240" w:after="283"/>
        <w:ind w:left="0" w:right="0" w:hanging="1109"/>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 </w:t>
      </w:r>
    </w:p>
    <w:p>
      <w:pPr>
        <w:pStyle w:val="TextBody"/>
        <w:pBdr/>
        <w:bidi w:val="0"/>
        <w:spacing w:before="360" w:after="283"/>
        <w:ind w:left="0" w:right="0" w:hanging="1109"/>
        <w:jc w:val="left"/>
        <w:rPr>
          <w:rFonts w:ascii="Times New Roman" w:hAnsi="Times New Roman"/>
          <w:sz w:val="20"/>
        </w:rPr>
      </w:pPr>
      <w:bookmarkStart w:id="16" w:name="item_1a_risk_factors"/>
      <w:bookmarkEnd w:id="16"/>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have been no material changes from the risk factors as previously disclosed in our Annual Report on Form 10-K for the year ended December 31, 2025, filed with the SEC on March 18, 2026. </w:t>
      </w:r>
    </w:p>
    <w:p>
      <w:pPr>
        <w:pStyle w:val="TextBody"/>
        <w:pBdr/>
        <w:bidi w:val="0"/>
        <w:spacing w:before="360" w:after="283"/>
        <w:ind w:left="0" w:right="0" w:hanging="1109"/>
        <w:jc w:val="left"/>
        <w:rPr>
          <w:rFonts w:ascii="Times New Roman" w:hAnsi="Times New Roman"/>
          <w:sz w:val="20"/>
        </w:rPr>
      </w:pPr>
      <w:bookmarkStart w:id="17" w:name="item_2_unregistered_sales"/>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summary of our Common Stock repurchased during the quarter ended June 30, 2026 is set forth in the following table: </w:t>
      </w:r>
    </w:p>
    <w:p>
      <w:pPr>
        <w:pStyle w:val="TextBody"/>
        <w:bidi w:val="0"/>
        <w:jc w:val="left"/>
        <w:rPr/>
      </w:pPr>
      <w:r>
        <w:rPr/>
        <w:t> </w:t>
      </w:r>
    </w:p>
    <w:tbl>
      <w:tblPr>
        <w:tblW w:w="8584" w:type="dxa"/>
        <w:jc w:val="left"/>
        <w:tblInd w:w="0" w:type="dxa"/>
        <w:tblLayout w:type="fixed"/>
        <w:tblCellMar>
          <w:top w:w="28" w:type="dxa"/>
          <w:left w:w="28" w:type="dxa"/>
          <w:bottom w:w="28" w:type="dxa"/>
          <w:right w:w="28" w:type="dxa"/>
        </w:tblCellMar>
      </w:tblPr>
      <w:tblGrid>
        <w:gridCol w:w="2671"/>
        <w:gridCol w:w="146"/>
        <w:gridCol w:w="329"/>
        <w:gridCol w:w="781"/>
        <w:gridCol w:w="146"/>
        <w:gridCol w:w="146"/>
        <w:gridCol w:w="295"/>
        <w:gridCol w:w="485"/>
        <w:gridCol w:w="146"/>
        <w:gridCol w:w="146"/>
        <w:gridCol w:w="373"/>
        <w:gridCol w:w="887"/>
        <w:gridCol w:w="146"/>
        <w:gridCol w:w="146"/>
        <w:gridCol w:w="183"/>
        <w:gridCol w:w="1167"/>
        <w:gridCol w:w="3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 of</w:t>
              <w:br/>
              <w:t>Shares</w:t>
              <w:br/>
              <w:t>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per</w:t>
              <w:br/>
              <w:t>Share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as</w:t>
              <w:br/>
              <w:t>Part of Publicly</w:t>
              <w:br/>
              <w:t>Announced</w:t>
              <w:br/>
              <w:t>Plans or</w:t>
              <w:br/>
              <w:t>Programs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Dollars that May</w:t>
              <w:br/>
              <w:t>Yet Be Used</w:t>
              <w:br/>
              <w:t>Under this Plan</w:t>
              <w:br/>
              <w:t>or Programs (2)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 The Company did not repurchase any shares of its Common Stock during the quarter ended June 30, 2026. As of June 30, 2026, $5.0 million remained available for repurchase under the program.</w:t>
      </w:r>
    </w:p>
    <w:p>
      <w:pPr>
        <w:pStyle w:val="TextBody"/>
        <w:pBdr/>
        <w:bidi w:val="0"/>
        <w:spacing w:before="360" w:after="283"/>
        <w:ind w:left="0" w:right="0" w:hanging="1109"/>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ind w:left="489" w:right="0" w:hanging="0"/>
        <w:jc w:val="left"/>
        <w:rPr>
          <w:rFonts w:ascii="Times New Roman" w:hAnsi="Times New Roman"/>
          <w:sz w:val="20"/>
        </w:rPr>
      </w:pPr>
      <w:r>
        <w:rPr>
          <w:rFonts w:ascii="Times New Roman" w:hAnsi="Times New Roman"/>
          <w:b/>
          <w:i/>
          <w:color w:val="000000"/>
          <w:sz w:val="20"/>
        </w:rPr>
        <w:t>Rule 10b5-1 Trading Plans of Directors and Section 16 Officers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fiscal quarter ended June 30, 2026, none of our directors or officers (as defined in Exchange Act Rule 16a-1(f)) informed us of the adoption, modification or termination of a “Rule 10b5-1 trading arrangement” or “non-Rule 10b5-1 trading arrangement,” as those terms are defined in Regulation S-K, Item 408.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 xml:space="preserve">(a) Exhibits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
        <w:gridCol w:w="9558"/>
      </w:tblGrid>
      <w:tr>
        <w:trPr/>
        <w:tc>
          <w:tcPr>
            <w:tcW w:w="647" w:type="dxa"/>
            <w:tcBorders/>
            <w:vAlign w:val="center"/>
          </w:tcPr>
          <w:p>
            <w:pPr>
              <w:pStyle w:val="TableContents"/>
              <w:bidi w:val="0"/>
              <w:spacing w:before="0" w:after="283"/>
              <w:jc w:val="left"/>
              <w:rPr>
                <w:sz w:val="4"/>
                <w:szCs w:val="4"/>
              </w:rPr>
            </w:pPr>
            <w:r>
              <w:rPr>
                <w:sz w:val="4"/>
                <w:szCs w:val="4"/>
              </w:rPr>
            </w:r>
          </w:p>
        </w:tc>
        <w:tc>
          <w:tcPr>
            <w:tcW w:w="9558" w:type="dxa"/>
            <w:tcBorders/>
            <w:vAlign w:val="center"/>
          </w:tcPr>
          <w:p>
            <w:pPr>
              <w:pStyle w:val="TableContents"/>
              <w:bidi w:val="0"/>
              <w:spacing w:before="0" w:after="283"/>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Amendment to Mastech Digital, Inc. Stock Incentive Plan (as Amended and Restated), incorporated by reference to Exhibit 10.1 of the Company’s Current Report on Form 8-K, filed with the Securities and Exchange Commission on May 18, 2026.</w:t>
              </w:r>
            </w:hyperlink>
            <w:hyperlink r:id="rId3">
              <w:r>
                <w:rPr>
                  <w:rStyle w:val="InternetLink"/>
                  <w:rFonts w:ascii="Times New Roman" w:hAnsi="Times New Roman"/>
                  <w:color w:val="0000FF"/>
                  <w:sz w:val="20"/>
                </w:rPr>
                <w:t xml:space="preserve"> </w:t>
              </w:r>
            </w:hyperlink>
          </w:p>
        </w:tc>
      </w:tr>
      <w:tr>
        <w:trPr/>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w:anchor="mhh-ex31_1.htm">
              <w:r>
                <w:rPr>
                  <w:rStyle w:val="InternetLink"/>
                  <w:rFonts w:ascii="Times New Roman" w:hAnsi="Times New Roman"/>
                  <w:color w:val="0000FF"/>
                  <w:sz w:val="20"/>
                  <w:u w:val="single"/>
                </w:rPr>
                <w:t>Certification pursuant to Section 302 of the Sarbanes-Oxley Act of 2002 by the Chief Executive Officer is filed herewith.</w:t>
              </w:r>
            </w:hyperlink>
          </w:p>
        </w:tc>
      </w:tr>
      <w:tr>
        <w:trPr/>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w:anchor="mhh-ex31_2.htm">
              <w:r>
                <w:rPr>
                  <w:rStyle w:val="InternetLink"/>
                  <w:rFonts w:ascii="Times New Roman" w:hAnsi="Times New Roman"/>
                  <w:color w:val="0000FF"/>
                  <w:sz w:val="20"/>
                  <w:u w:val="single"/>
                </w:rPr>
                <w:t>Certification pursuant to Section 302 of the Sarbanes-Oxley Act of 2002 by the Chief Financial Officer is filed herewith.</w:t>
              </w:r>
            </w:hyperlink>
          </w:p>
        </w:tc>
      </w:tr>
      <w:tr>
        <w:trPr/>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w:anchor="mhh-ex32_1.htm">
              <w:r>
                <w:rPr>
                  <w:rStyle w:val="InternetLink"/>
                  <w:rFonts w:ascii="Times New Roman" w:hAnsi="Times New Roman"/>
                  <w:color w:val="0000FF"/>
                  <w:sz w:val="20"/>
                  <w:u w:val="single"/>
                </w:rPr>
                <w:t>Certification pursuant to 18 U.S.C. Section 1350, as adopted pursuant to Section 906 of the Sarbanes-Oxley Act of 2002, by the Chief Executive Officer is furnished herewith.</w:t>
              </w:r>
            </w:hyperlink>
          </w:p>
        </w:tc>
      </w:tr>
      <w:tr>
        <w:trPr/>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w:anchor="mhh-ex32_2.htm">
              <w:r>
                <w:rPr>
                  <w:rStyle w:val="InternetLink"/>
                  <w:rFonts w:ascii="Times New Roman" w:hAnsi="Times New Roman"/>
                  <w:color w:val="0000FF"/>
                  <w:sz w:val="20"/>
                  <w:u w:val="single"/>
                </w:rPr>
                <w:t>Certification pursuant to 18 U.S.C. Section 1350, as adopted pursuant to Section 906 of the Sarbanes-Oxley Act of 2002, by the Chief Financial Officer is furnished herewith.</w:t>
              </w:r>
            </w:hyperlink>
          </w:p>
        </w:tc>
      </w:tr>
      <w:tr>
        <w:trPr/>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on this 6th day of August, 2026. </w:t>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1366"/>
        <w:gridCol w:w="146"/>
        <w:gridCol w:w="300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MASTECH DIGITAL, INC.</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NIRAV PATEL</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Nirav Patel</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KANNAN SUGANTHARAMAN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Kannan Sugantharaman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bookmarkStart w:id="21" w:name="mhh-ex31_1.htm"/>
      <w:bookmarkStart w:id="22" w:name="ksmhh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 by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Nirav Patel,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report on Form 10-Q of Mastech Digital,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1846"/>
        <w:gridCol w:w="146"/>
        <w:gridCol w:w="23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MASTECH DIGITAL,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NIRAV PATEL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Nirav Patel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hh-ex31_2.htm"/>
      <w:bookmarkStart w:id="24" w:name="ksmhh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 by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Kannan Sugantharaman,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report on Form 10-Q of Mastech Digital,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1846"/>
        <w:gridCol w:w="146"/>
        <w:gridCol w:w="30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MASTECH DIGITAL, INC.</w:t>
            </w:r>
          </w:p>
        </w:tc>
      </w:tr>
      <w:tr>
        <w:trPr/>
        <w:tc>
          <w:tcPr>
            <w:tcW w:w="502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KANNAN SUGANTHARAMAN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Kannan Sugantharaman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mhh-ex32_1.htm"/>
      <w:bookmarkStart w:id="26" w:name="ksmhhex32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Quarterly Report of Mastech Digital, Inc. (the “Company”) on Form 10-Q for the quarter ended June 30, 2026, as filed with the Securities and Exchange Commission on the date hereof (the “Report”), I, Nirav Patel, Chief Executive Officer of the Company, certify, pursuant to 18 U.S.C. § 1350, as adopted pursuant to § 906 of the Sarbanes-Oxley Act of 2002, that, to my knowledge: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and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NIRAV PATEL</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Nirav Patel</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mhh-ex32_2.htm"/>
      <w:bookmarkStart w:id="28" w:name="ksmhhex32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Quarterly Report of Mastech Digital, Inc. (the “Company”) on Form 10-Q for the quarter ended June 30, 2026, as filed with the Securities and Exchange Commission on the date hereof (the “Report”), I, Kannan Sugantharaman, Chief Financial Officer of the Company, certify, pursuant to 18 U.S.C. § 1350, as adopted pursuant to § 906 of the Sarbanes-Oxley Act of 2002, that, to my knowledge: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and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KANNAN SUGANTHARAMAN</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Kannan Sugantharaman</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Chief Financial Officer</w:t>
            </w:r>
          </w:p>
        </w:tc>
      </w:tr>
      <w:tr>
        <w:trPr/>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7226/000119312526228451/mhh-20260513.htm" TargetMode="External"/><Relationship Id="rId3" Type="http://schemas.openxmlformats.org/officeDocument/2006/relationships/hyperlink" Target="https://www.sec.gov/Archives/edgar/data/1437226/000119312526228451/mhh-2026051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15421</Words>
  <Characters>83846</Characters>
  <CharactersWithSpaces>100522</CharactersWithSpaces>
  <Paragraphs>5549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