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173355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5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right="4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spacing w:after="0" w:line="121" w:lineRule="exact"/>
        <w:rPr>
          <w:sz w:val="24"/>
          <w:szCs w:val="24"/>
          <w:color w:val="auto"/>
        </w:rPr>
      </w:pPr>
    </w:p>
    <w:p>
      <w:pPr>
        <w:ind w:left="540" w:right="2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5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Commission File Number 001-34099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173990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43"/>
          <w:szCs w:val="43"/>
          <w:b w:val="1"/>
          <w:bCs w:val="1"/>
          <w:color w:val="auto"/>
        </w:rPr>
        <w:t>MASTECH DIGITAL, INC.</w:t>
      </w:r>
    </w:p>
    <w:p>
      <w:pPr>
        <w:spacing w:after="0" w:line="5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tbl>
      <w:tblPr>
        <w:tblLayout w:type="fixed"/>
        <w:tblInd w:w="920" w:type="dxa"/>
        <w:tblCellMar>
          <w:top w:w="0" w:type="dxa"/>
          <w:left w:w="0" w:type="dxa"/>
          <w:bottom w:w="0" w:type="dxa"/>
          <w:right w:w="0" w:type="dxa"/>
        </w:tblCellMar>
      </w:tblPr>
      <w:tr>
        <w:trPr>
          <w:trHeight w:val="214"/>
        </w:trPr>
        <w:tc>
          <w:tcPr>
            <w:tcW w:w="5460" w:type="dxa"/>
            <w:vAlign w:val="bottom"/>
          </w:tcPr>
          <w:p>
            <w:pPr>
              <w:jc w:val="center"/>
              <w:ind w:right="1419"/>
              <w:spacing w:after="0"/>
              <w:rPr>
                <w:sz w:val="20"/>
                <w:szCs w:val="20"/>
                <w:color w:val="auto"/>
              </w:rPr>
            </w:pPr>
            <w:r>
              <w:rPr>
                <w:rFonts w:ascii="Times New Roman" w:cs="Times New Roman" w:eastAsia="Times New Roman" w:hAnsi="Times New Roman"/>
                <w:sz w:val="18"/>
                <w:szCs w:val="18"/>
                <w:b w:val="1"/>
                <w:bCs w:val="1"/>
                <w:color w:val="auto"/>
                <w:w w:val="97"/>
              </w:rPr>
              <w:t>PENNSYLVANIA</w:t>
            </w:r>
          </w:p>
        </w:tc>
        <w:tc>
          <w:tcPr>
            <w:tcW w:w="264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26-2753540</w:t>
            </w:r>
          </w:p>
        </w:tc>
      </w:tr>
      <w:tr>
        <w:trPr>
          <w:trHeight w:val="148"/>
        </w:trPr>
        <w:tc>
          <w:tcPr>
            <w:tcW w:w="5460" w:type="dxa"/>
            <w:vAlign w:val="bottom"/>
          </w:tcPr>
          <w:p>
            <w:pPr>
              <w:jc w:val="center"/>
              <w:ind w:right="141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640" w:type="dxa"/>
            <w:vAlign w:val="bottom"/>
          </w:tcPr>
          <w:p>
            <w:pPr>
              <w:jc w:val="center"/>
              <w:ind w:left="14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460" w:type="dxa"/>
            <w:vAlign w:val="bottom"/>
          </w:tcPr>
          <w:p>
            <w:pPr>
              <w:jc w:val="center"/>
              <w:ind w:right="141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64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5460" w:type="dxa"/>
            <w:vAlign w:val="bottom"/>
          </w:tcPr>
          <w:p>
            <w:pPr>
              <w:jc w:val="center"/>
              <w:ind w:right="1419"/>
              <w:spacing w:after="0"/>
              <w:rPr>
                <w:sz w:val="20"/>
                <w:szCs w:val="20"/>
                <w:color w:val="auto"/>
              </w:rPr>
            </w:pPr>
            <w:r>
              <w:rPr>
                <w:rFonts w:ascii="Times New Roman" w:cs="Times New Roman" w:eastAsia="Times New Roman" w:hAnsi="Times New Roman"/>
                <w:sz w:val="18"/>
                <w:szCs w:val="18"/>
                <w:b w:val="1"/>
                <w:bCs w:val="1"/>
                <w:color w:val="auto"/>
                <w:w w:val="99"/>
              </w:rPr>
              <w:t>1305 Cherrington Parkway, Building 210, Suite 400</w:t>
            </w:r>
          </w:p>
        </w:tc>
        <w:tc>
          <w:tcPr>
            <w:tcW w:w="2640" w:type="dxa"/>
            <w:vAlign w:val="bottom"/>
          </w:tcPr>
          <w:p>
            <w:pPr>
              <w:spacing w:after="0"/>
              <w:rPr>
                <w:sz w:val="24"/>
                <w:szCs w:val="24"/>
                <w:color w:val="auto"/>
              </w:rPr>
            </w:pPr>
          </w:p>
        </w:tc>
      </w:tr>
      <w:tr>
        <w:trPr>
          <w:trHeight w:val="227"/>
        </w:trPr>
        <w:tc>
          <w:tcPr>
            <w:tcW w:w="5460" w:type="dxa"/>
            <w:vAlign w:val="bottom"/>
          </w:tcPr>
          <w:p>
            <w:pPr>
              <w:jc w:val="center"/>
              <w:ind w:right="1419"/>
              <w:spacing w:after="0"/>
              <w:rPr>
                <w:sz w:val="20"/>
                <w:szCs w:val="20"/>
                <w:color w:val="auto"/>
              </w:rPr>
            </w:pPr>
            <w:r>
              <w:rPr>
                <w:rFonts w:ascii="Times New Roman" w:cs="Times New Roman" w:eastAsia="Times New Roman" w:hAnsi="Times New Roman"/>
                <w:sz w:val="18"/>
                <w:szCs w:val="18"/>
                <w:b w:val="1"/>
                <w:bCs w:val="1"/>
                <w:color w:val="auto"/>
                <w:w w:val="99"/>
              </w:rPr>
              <w:t>Moon Township, Pennsylvania</w:t>
            </w:r>
          </w:p>
        </w:tc>
        <w:tc>
          <w:tcPr>
            <w:tcW w:w="264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15108</w:t>
            </w:r>
          </w:p>
        </w:tc>
      </w:tr>
      <w:tr>
        <w:trPr>
          <w:trHeight w:val="190"/>
        </w:trPr>
        <w:tc>
          <w:tcPr>
            <w:tcW w:w="5460" w:type="dxa"/>
            <w:vAlign w:val="bottom"/>
          </w:tcPr>
          <w:p>
            <w:pPr>
              <w:jc w:val="center"/>
              <w:ind w:right="14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40" w:type="dxa"/>
            <w:vAlign w:val="bottom"/>
          </w:tcPr>
          <w:p>
            <w:pPr>
              <w:jc w:val="center"/>
              <w:ind w:left="14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6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(412) 787-2100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165735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16" w:lineRule="exact"/>
        <w:rPr>
          <w:sz w:val="24"/>
          <w:szCs w:val="24"/>
          <w:color w:val="auto"/>
        </w:rPr>
      </w:pPr>
    </w:p>
    <w:tbl>
      <w:tblPr>
        <w:tblLayout w:type="fixed"/>
        <w:tblInd w:w="420" w:type="dxa"/>
        <w:tblCellMar>
          <w:top w:w="0" w:type="dxa"/>
          <w:left w:w="0" w:type="dxa"/>
          <w:bottom w:w="0" w:type="dxa"/>
          <w:right w:w="0" w:type="dxa"/>
        </w:tblCellMar>
      </w:tblPr>
      <w:tr>
        <w:trPr>
          <w:trHeight w:val="161"/>
        </w:trPr>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90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2740" w:type="dxa"/>
            <w:vAlign w:val="bottom"/>
            <w:gridSpan w:val="3"/>
          </w:tcPr>
          <w:p>
            <w:pPr>
              <w:jc w:val="center"/>
              <w:ind w:left="1242"/>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73"/>
        </w:trPr>
        <w:tc>
          <w:tcPr>
            <w:tcW w:w="1020" w:type="dxa"/>
            <w:vAlign w:val="bottom"/>
          </w:tcPr>
          <w:p>
            <w:pPr>
              <w:spacing w:after="0"/>
              <w:rPr>
                <w:sz w:val="15"/>
                <w:szCs w:val="15"/>
                <w:color w:val="auto"/>
              </w:rPr>
            </w:pPr>
          </w:p>
        </w:tc>
        <w:tc>
          <w:tcPr>
            <w:tcW w:w="3040" w:type="dxa"/>
            <w:vAlign w:val="bottom"/>
            <w:gridSpan w:val="2"/>
          </w:tcPr>
          <w:p>
            <w:pPr>
              <w:jc w:val="center"/>
              <w:ind w:right="1960"/>
              <w:spacing w:after="0" w:line="153" w:lineRule="exact"/>
              <w:rPr>
                <w:sz w:val="20"/>
                <w:szCs w:val="20"/>
                <w:color w:val="auto"/>
              </w:rPr>
            </w:pPr>
            <w:r>
              <w:rPr>
                <w:rFonts w:ascii="Times New Roman" w:cs="Times New Roman" w:eastAsia="Times New Roman" w:hAnsi="Times New Roman"/>
                <w:sz w:val="14"/>
                <w:szCs w:val="14"/>
                <w:b w:val="1"/>
                <w:bCs w:val="1"/>
                <w:color w:val="auto"/>
              </w:rPr>
              <w:t>Title of each class</w:t>
            </w:r>
          </w:p>
        </w:tc>
        <w:tc>
          <w:tcPr>
            <w:tcW w:w="2860" w:type="dxa"/>
            <w:vAlign w:val="bottom"/>
            <w:gridSpan w:val="3"/>
          </w:tcPr>
          <w:p>
            <w:pPr>
              <w:jc w:val="center"/>
              <w:ind w:right="340"/>
              <w:spacing w:after="0" w:line="153" w:lineRule="exact"/>
              <w:rPr>
                <w:sz w:val="20"/>
                <w:szCs w:val="20"/>
                <w:color w:val="auto"/>
              </w:rPr>
            </w:pPr>
            <w:r>
              <w:rPr>
                <w:rFonts w:ascii="Times New Roman" w:cs="Times New Roman" w:eastAsia="Times New Roman" w:hAnsi="Times New Roman"/>
                <w:sz w:val="14"/>
                <w:szCs w:val="14"/>
                <w:b w:val="1"/>
                <w:bCs w:val="1"/>
                <w:color w:val="auto"/>
              </w:rPr>
              <w:t>Symbol(s)</w:t>
            </w:r>
          </w:p>
        </w:tc>
        <w:tc>
          <w:tcPr>
            <w:tcW w:w="2740" w:type="dxa"/>
            <w:vAlign w:val="bottom"/>
            <w:gridSpan w:val="3"/>
          </w:tcPr>
          <w:p>
            <w:pPr>
              <w:jc w:val="center"/>
              <w:ind w:left="1242"/>
              <w:spacing w:after="0" w:line="153" w:lineRule="exact"/>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0"/>
        </w:trPr>
        <w:tc>
          <w:tcPr>
            <w:tcW w:w="4060" w:type="dxa"/>
            <w:vAlign w:val="bottom"/>
            <w:gridSpan w:val="3"/>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MHH</w:t>
            </w:r>
          </w:p>
        </w:tc>
        <w:tc>
          <w:tcPr>
            <w:tcW w:w="1300" w:type="dxa"/>
            <w:vAlign w:val="bottom"/>
            <w:vMerge w:val="restart"/>
          </w:tcPr>
          <w:p>
            <w:pPr>
              <w:spacing w:after="0" w:line="20" w:lineRule="exact"/>
              <w:rPr>
                <w:sz w:val="1"/>
                <w:szCs w:val="1"/>
                <w:color w:val="auto"/>
              </w:rPr>
            </w:pPr>
          </w:p>
        </w:tc>
        <w:tc>
          <w:tcPr>
            <w:tcW w:w="2740" w:type="dxa"/>
            <w:vAlign w:val="bottom"/>
            <w:gridSpan w:val="3"/>
            <w:vMerge w:val="restart"/>
          </w:tcPr>
          <w:p>
            <w:pPr>
              <w:jc w:val="center"/>
              <w:ind w:left="1242"/>
              <w:spacing w:after="0"/>
              <w:rPr>
                <w:sz w:val="20"/>
                <w:szCs w:val="20"/>
                <w:color w:val="auto"/>
              </w:rPr>
            </w:pPr>
            <w:r>
              <w:rPr>
                <w:rFonts w:ascii="Times New Roman" w:cs="Times New Roman" w:eastAsia="Times New Roman" w:hAnsi="Times New Roman"/>
                <w:sz w:val="18"/>
                <w:szCs w:val="18"/>
                <w:b w:val="1"/>
                <w:bCs w:val="1"/>
                <w:color w:val="auto"/>
              </w:rPr>
              <w:t>NYSE American</w:t>
            </w:r>
          </w:p>
        </w:tc>
        <w:tc>
          <w:tcPr>
            <w:tcW w:w="0" w:type="dxa"/>
            <w:vAlign w:val="bottom"/>
          </w:tcPr>
          <w:p>
            <w:pPr>
              <w:spacing w:after="0" w:line="20" w:lineRule="exact"/>
              <w:rPr>
                <w:sz w:val="1"/>
                <w:szCs w:val="1"/>
                <w:color w:val="auto"/>
              </w:rPr>
            </w:pPr>
          </w:p>
        </w:tc>
      </w:tr>
      <w:tr>
        <w:trPr>
          <w:trHeight w:val="219"/>
        </w:trPr>
        <w:tc>
          <w:tcPr>
            <w:tcW w:w="406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b w:val="1"/>
                <w:bCs w:val="1"/>
                <w:color w:val="auto"/>
                <w:w w:val="99"/>
              </w:rPr>
              <w:t>Common Stock, par value $.01 per share</w:t>
            </w:r>
          </w:p>
        </w:tc>
        <w:tc>
          <w:tcPr>
            <w:tcW w:w="96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300" w:type="dxa"/>
            <w:vAlign w:val="bottom"/>
            <w:vMerge w:val="continue"/>
          </w:tcPr>
          <w:p>
            <w:pPr>
              <w:spacing w:after="0"/>
              <w:rPr>
                <w:sz w:val="19"/>
                <w:szCs w:val="19"/>
                <w:color w:val="auto"/>
              </w:rPr>
            </w:pPr>
          </w:p>
        </w:tc>
        <w:tc>
          <w:tcPr>
            <w:tcW w:w="274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131445</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90"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w:t>
      </w:r>
    </w:p>
    <w:p>
      <w:pPr>
        <w:spacing w:after="0" w:line="39" w:lineRule="exact"/>
        <w:rPr>
          <w:sz w:val="24"/>
          <w:szCs w:val="24"/>
          <w:color w:val="auto"/>
        </w:rPr>
      </w:pPr>
    </w:p>
    <w:p>
      <w:pPr>
        <w:ind w:left="120" w:right="220"/>
        <w:spacing w:after="0" w:line="226"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jc w:val="both"/>
        <w:ind w:left="120" w:right="120" w:firstLine="44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0" w:lineRule="exact"/>
        <w:rPr>
          <w:sz w:val="24"/>
          <w:szCs w:val="24"/>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3" w:lineRule="exact"/>
        <w:rPr>
          <w:sz w:val="24"/>
          <w:szCs w:val="24"/>
          <w:color w:val="auto"/>
        </w:rPr>
      </w:pPr>
    </w:p>
    <w:tbl>
      <w:tblPr>
        <w:tblLayout w:type="fixed"/>
        <w:tblInd w:w="12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0" w:lineRule="exact"/>
        <w:rPr>
          <w:sz w:val="24"/>
          <w:szCs w:val="24"/>
          <w:color w:val="auto"/>
        </w:rPr>
      </w:pPr>
    </w:p>
    <w:p>
      <w:pPr>
        <w:ind w:left="120" w:right="100" w:firstLine="4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120" w:right="1020" w:firstLine="440"/>
        <w:spacing w:after="0" w:line="294"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the registrant’s Common Stock, par value $.01 per share, outstanding as of October 31, 2022 was 11,617,709.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137795</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80"/>
          </w:cols>
          <w:pgMar w:left="320" w:top="226" w:right="4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3"/>
          </w:tcPr>
          <w:p>
            <w:pPr>
              <w:jc w:val="center"/>
              <w:ind w:right="3200"/>
              <w:spacing w:after="0"/>
              <w:rPr>
                <w:sz w:val="20"/>
                <w:szCs w:val="20"/>
                <w:color w:val="auto"/>
              </w:rPr>
            </w:pPr>
            <w:r>
              <w:rPr>
                <w:rFonts w:ascii="Times New Roman" w:cs="Times New Roman" w:eastAsia="Times New Roman" w:hAnsi="Times New Roman"/>
                <w:sz w:val="18"/>
                <w:szCs w:val="18"/>
                <w:b w:val="1"/>
                <w:bCs w:val="1"/>
                <w:color w:val="auto"/>
                <w:w w:val="99"/>
              </w:rPr>
              <w:t>MASTECH DIGITAL, INC.</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740" w:type="dxa"/>
            <w:vAlign w:val="bottom"/>
            <w:gridSpan w:val="3"/>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8"/>
              </w:rPr>
              <w:t>QUARTERLY REPORT ON FORM 10-Q</w:t>
            </w: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740" w:type="dxa"/>
            <w:vAlign w:val="bottom"/>
            <w:gridSpan w:val="3"/>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9"/>
              </w:rPr>
              <w:t>FOR THE QUARTER ENDED SEPTEMBER 30, 2022</w:t>
            </w:r>
          </w:p>
        </w:tc>
        <w:tc>
          <w:tcPr>
            <w:tcW w:w="0" w:type="dxa"/>
            <w:vAlign w:val="bottom"/>
          </w:tcPr>
          <w:p>
            <w:pPr>
              <w:spacing w:after="0"/>
              <w:rPr>
                <w:sz w:val="1"/>
                <w:szCs w:val="1"/>
                <w:color w:val="auto"/>
              </w:rPr>
            </w:pPr>
          </w:p>
        </w:tc>
      </w:tr>
      <w:tr>
        <w:trPr>
          <w:trHeight w:val="432"/>
        </w:trPr>
        <w:tc>
          <w:tcPr>
            <w:tcW w:w="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740" w:type="dxa"/>
            <w:vAlign w:val="bottom"/>
            <w:gridSpan w:val="3"/>
          </w:tcPr>
          <w:p>
            <w:pPr>
              <w:jc w:val="center"/>
              <w:ind w:right="32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0" w:type="dxa"/>
            <w:vAlign w:val="bottom"/>
          </w:tcPr>
          <w:p>
            <w:pPr>
              <w:spacing w:after="0"/>
              <w:rPr>
                <w:sz w:val="1"/>
                <w:szCs w:val="1"/>
                <w:color w:val="auto"/>
              </w:rPr>
            </w:pPr>
          </w:p>
        </w:tc>
      </w:tr>
      <w:tr>
        <w:trPr>
          <w:trHeight w:val="392"/>
        </w:trPr>
        <w:tc>
          <w:tcPr>
            <w:tcW w:w="8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PART 1</w:t>
            </w:r>
          </w:p>
        </w:tc>
        <w:tc>
          <w:tcPr>
            <w:tcW w:w="2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EE"/>
                <w:w w:val="98"/>
              </w:rPr>
              <w:t>FINANCIAL INFORMATION</w:t>
            </w:r>
          </w:p>
        </w:tc>
        <w:tc>
          <w:tcPr>
            <w:tcW w:w="120" w:type="dxa"/>
            <w:vAlign w:val="bottom"/>
            <w:vMerge w:val="restart"/>
          </w:tcPr>
          <w:p>
            <w:pPr>
              <w:spacing w:after="0"/>
              <w:rPr>
                <w:sz w:val="24"/>
                <w:szCs w:val="24"/>
                <w:color w:val="auto"/>
              </w:rPr>
            </w:pPr>
          </w:p>
        </w:tc>
        <w:tc>
          <w:tcPr>
            <w:tcW w:w="742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61"/>
        </w:trPr>
        <w:tc>
          <w:tcPr>
            <w:tcW w:w="860" w:type="dxa"/>
            <w:vAlign w:val="bottom"/>
            <w:vMerge w:val="continue"/>
          </w:tcPr>
          <w:p>
            <w:pPr>
              <w:spacing w:after="0"/>
              <w:rPr>
                <w:sz w:val="13"/>
                <w:szCs w:val="13"/>
                <w:color w:val="auto"/>
              </w:rPr>
            </w:pPr>
          </w:p>
        </w:tc>
        <w:tc>
          <w:tcPr>
            <w:tcW w:w="2260" w:type="dxa"/>
            <w:vAlign w:val="bottom"/>
            <w:tcBorders>
              <w:bottom w:val="single" w:sz="8" w:color="0000EE"/>
            </w:tcBorders>
            <w:gridSpan w:val="2"/>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742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6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Financial Statements:</w:t>
            </w:r>
          </w:p>
        </w:tc>
        <w:tc>
          <w:tcPr>
            <w:tcW w:w="820" w:type="dxa"/>
            <w:vAlign w:val="bottom"/>
            <w:gridSpan w:val="2"/>
          </w:tcPr>
          <w:p>
            <w:pPr>
              <w:spacing w:after="0"/>
              <w:rPr>
                <w:sz w:val="24"/>
                <w:szCs w:val="24"/>
                <w:color w:val="auto"/>
              </w:rPr>
            </w:pPr>
          </w:p>
        </w:tc>
        <w:tc>
          <w:tcPr>
            <w:tcW w:w="7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117"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EE"/>
        </w:rPr>
        <w:t>Condensed Consolidated Statements of Operations (Unaudited) for the Three and Nine Months Ended September 30, 2022 and</w:t>
      </w:r>
    </w:p>
    <w:p>
      <w:pPr>
        <w:spacing w:after="0" w:line="27" w:lineRule="exact"/>
        <w:rPr>
          <w:sz w:val="20"/>
          <w:szCs w:val="20"/>
          <w:color w:val="auto"/>
        </w:rPr>
      </w:pPr>
    </w:p>
    <w:p>
      <w:pPr>
        <w:jc w:val="both"/>
        <w:ind w:left="1480"/>
        <w:spacing w:after="0"/>
        <w:tabs>
          <w:tab w:leader="none" w:pos="10960" w:val="left"/>
        </w:tabs>
        <w:rPr>
          <w:sz w:val="20"/>
          <w:szCs w:val="20"/>
          <w:color w:val="auto"/>
        </w:rPr>
      </w:pPr>
      <w:r>
        <w:rPr>
          <w:rFonts w:ascii="Times New Roman" w:cs="Times New Roman" w:eastAsia="Times New Roman" w:hAnsi="Times New Roman"/>
          <w:sz w:val="18"/>
          <w:szCs w:val="18"/>
          <w:u w:val="single" w:color="auto"/>
          <w:color w:val="0000EE"/>
        </w:rPr>
        <w:t>2021</w:t>
      </w:r>
      <w:r>
        <w:rPr>
          <w:sz w:val="20"/>
          <w:szCs w:val="20"/>
          <w:color w:val="auto"/>
        </w:rPr>
        <w:tab/>
      </w:r>
      <w:r>
        <w:rPr>
          <w:rFonts w:ascii="Times New Roman" w:cs="Times New Roman" w:eastAsia="Times New Roman" w:hAnsi="Times New Roman"/>
          <w:sz w:val="18"/>
          <w:szCs w:val="18"/>
          <w:color w:val="auto"/>
        </w:rPr>
        <w:t>3</w:t>
      </w:r>
    </w:p>
    <w:p>
      <w:pPr>
        <w:spacing w:after="0" w:line="86"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860" w:type="dxa"/>
            <w:vAlign w:val="bottom"/>
          </w:tcPr>
          <w:p>
            <w:pPr>
              <w:spacing w:after="0"/>
              <w:rPr>
                <w:sz w:val="17"/>
                <w:szCs w:val="17"/>
                <w:color w:val="auto"/>
              </w:rPr>
            </w:pPr>
          </w:p>
        </w:tc>
        <w:tc>
          <w:tcPr>
            <w:tcW w:w="98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0000EE"/>
              </w:rPr>
              <w:t>Condensed Consolidated Statements of Comprehensive Income (Unaudited) for the Three and Nine Months Ended September 30,</w:t>
            </w:r>
          </w:p>
        </w:tc>
        <w:tc>
          <w:tcPr>
            <w:tcW w:w="300" w:type="dxa"/>
            <w:vAlign w:val="bottom"/>
          </w:tcPr>
          <w:p>
            <w:pPr>
              <w:spacing w:after="0"/>
              <w:rPr>
                <w:sz w:val="17"/>
                <w:szCs w:val="17"/>
                <w:color w:val="auto"/>
              </w:rPr>
            </w:pPr>
          </w:p>
        </w:tc>
      </w:tr>
      <w:tr>
        <w:trPr>
          <w:trHeight w:val="196"/>
        </w:trPr>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2022 and 2021</w:t>
            </w:r>
          </w:p>
        </w:tc>
        <w:tc>
          <w:tcPr>
            <w:tcW w:w="8100" w:type="dxa"/>
            <w:vAlign w:val="bottom"/>
            <w:tcBorders>
              <w:top w:val="single" w:sz="8" w:color="0000EE"/>
            </w:tcBorders>
            <w:gridSpan w:val="10"/>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304"/>
        </w:trPr>
        <w:tc>
          <w:tcPr>
            <w:tcW w:w="860" w:type="dxa"/>
            <w:vAlign w:val="bottom"/>
          </w:tcPr>
          <w:p>
            <w:pPr>
              <w:spacing w:after="0"/>
              <w:rPr>
                <w:sz w:val="24"/>
                <w:szCs w:val="24"/>
                <w:color w:val="auto"/>
              </w:rPr>
            </w:pPr>
          </w:p>
        </w:tc>
        <w:tc>
          <w:tcPr>
            <w:tcW w:w="98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color w:val="0000EE"/>
              </w:rPr>
              <w:t>Condensed Consolidated Balance Sheets (Unaudited) as of September 30, 2022 and December 31, 2021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860" w:type="dxa"/>
            <w:vAlign w:val="bottom"/>
          </w:tcPr>
          <w:p>
            <w:pPr>
              <w:spacing w:after="0"/>
              <w:rPr>
                <w:sz w:val="24"/>
                <w:szCs w:val="24"/>
                <w:color w:val="auto"/>
              </w:rPr>
            </w:pPr>
          </w:p>
        </w:tc>
        <w:tc>
          <w:tcPr>
            <w:tcW w:w="98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color w:val="0000EE"/>
              </w:rPr>
              <w:t>Condensed Consolidated Statements of Shareholders’ Equity (Unaudited) for the Three and Nine Months Ended September 30,</w:t>
            </w:r>
          </w:p>
        </w:tc>
        <w:tc>
          <w:tcPr>
            <w:tcW w:w="30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2022 and 2021</w:t>
            </w:r>
          </w:p>
        </w:tc>
        <w:tc>
          <w:tcPr>
            <w:tcW w:w="7920" w:type="dxa"/>
            <w:vAlign w:val="bottom"/>
            <w:tcBorders>
              <w:top w:val="single" w:sz="8" w:color="0000EE"/>
            </w:tcBorders>
            <w:gridSpan w:val="9"/>
          </w:tcPr>
          <w:p>
            <w:pPr>
              <w:spacing w:after="0"/>
              <w:rPr>
                <w:sz w:val="17"/>
                <w:szCs w:val="17"/>
                <w:color w:val="auto"/>
              </w:rPr>
            </w:pPr>
          </w:p>
        </w:tc>
        <w:tc>
          <w:tcPr>
            <w:tcW w:w="30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304"/>
        </w:trPr>
        <w:tc>
          <w:tcPr>
            <w:tcW w:w="860" w:type="dxa"/>
            <w:vAlign w:val="bottom"/>
          </w:tcPr>
          <w:p>
            <w:pPr>
              <w:spacing w:after="0"/>
              <w:rPr>
                <w:sz w:val="24"/>
                <w:szCs w:val="24"/>
                <w:color w:val="auto"/>
              </w:rPr>
            </w:pPr>
          </w:p>
        </w:tc>
        <w:tc>
          <w:tcPr>
            <w:tcW w:w="98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color w:val="0000EE"/>
              </w:rPr>
              <w:t>Condensed Consolidated Statements of Cash Flows (Unaudited) for the Nine Months Ended September 30, 2022 and 2021</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860" w:type="dxa"/>
            <w:vAlign w:val="bottom"/>
          </w:tcPr>
          <w:p>
            <w:pPr>
              <w:spacing w:after="0"/>
              <w:rPr>
                <w:sz w:val="24"/>
                <w:szCs w:val="24"/>
                <w:color w:val="auto"/>
              </w:rPr>
            </w:pPr>
          </w:p>
        </w:tc>
        <w:tc>
          <w:tcPr>
            <w:tcW w:w="98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color w:val="0000EE"/>
              </w:rPr>
              <w:t>Notes to Condensed Consolidated Financial Statements (Unaudited)</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34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334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44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8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8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546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98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540" w:type="dxa"/>
            <w:vAlign w:val="bottom"/>
            <w:tcBorders>
              <w:top w:val="single" w:sz="8" w:color="0000EE"/>
            </w:tcBorders>
            <w:gridSpan w:val="3"/>
          </w:tcPr>
          <w:p>
            <w:pPr>
              <w:spacing w:after="0"/>
              <w:rPr>
                <w:sz w:val="24"/>
                <w:szCs w:val="24"/>
                <w:color w:val="auto"/>
              </w:rPr>
            </w:pPr>
          </w:p>
        </w:tc>
        <w:tc>
          <w:tcPr>
            <w:tcW w:w="792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8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8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5460" w:type="dxa"/>
            <w:vAlign w:val="bottom"/>
            <w:gridSpan w:val="8"/>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0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0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3740" w:type="dxa"/>
            <w:vAlign w:val="bottom"/>
            <w:tcBorders>
              <w:top w:val="single" w:sz="8" w:color="0000EE"/>
            </w:tcBorders>
            <w:gridSpan w:val="7"/>
          </w:tcPr>
          <w:p>
            <w:pPr>
              <w:spacing w:after="0"/>
              <w:rPr>
                <w:sz w:val="24"/>
                <w:szCs w:val="24"/>
                <w:color w:val="auto"/>
              </w:rPr>
            </w:pPr>
          </w:p>
        </w:tc>
        <w:tc>
          <w:tcPr>
            <w:tcW w:w="546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04"/>
        </w:trPr>
        <w:tc>
          <w:tcPr>
            <w:tcW w:w="860" w:type="dxa"/>
            <w:vAlign w:val="bottom"/>
          </w:tcPr>
          <w:p>
            <w:pPr>
              <w:spacing w:after="0"/>
              <w:rPr>
                <w:sz w:val="24"/>
                <w:szCs w:val="24"/>
                <w:color w:val="auto"/>
              </w:rPr>
            </w:pPr>
          </w:p>
        </w:tc>
        <w:tc>
          <w:tcPr>
            <w:tcW w:w="11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870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85"/>
        </w:trPr>
        <w:tc>
          <w:tcPr>
            <w:tcW w:w="860" w:type="dxa"/>
            <w:vAlign w:val="bottom"/>
          </w:tcPr>
          <w:p>
            <w:pPr>
              <w:spacing w:after="0"/>
              <w:rPr>
                <w:sz w:val="24"/>
                <w:szCs w:val="24"/>
                <w:color w:val="auto"/>
              </w:rPr>
            </w:pPr>
          </w:p>
        </w:tc>
        <w:tc>
          <w:tcPr>
            <w:tcW w:w="5240" w:type="dxa"/>
            <w:vAlign w:val="bottom"/>
            <w:gridSpan w:val="12"/>
          </w:tcPr>
          <w:p>
            <w:pPr>
              <w:ind w:left="4600"/>
              <w:spacing w:after="0"/>
              <w:rPr>
                <w:sz w:val="20"/>
                <w:szCs w:val="20"/>
                <w:color w:val="auto"/>
              </w:rPr>
            </w:pPr>
            <w:r>
              <w:rPr>
                <w:rFonts w:ascii="Times New Roman" w:cs="Times New Roman" w:eastAsia="Times New Roman" w:hAnsi="Times New Roman"/>
                <w:sz w:val="18"/>
                <w:szCs w:val="18"/>
                <w:color w:val="auto"/>
              </w:rPr>
              <w:t>2</w:t>
            </w:r>
          </w:p>
        </w:tc>
        <w:tc>
          <w:tcPr>
            <w:tcW w:w="1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52" w:lineRule="exact"/>
        <w:rPr>
          <w:sz w:val="20"/>
          <w:szCs w:val="20"/>
          <w:color w:val="auto"/>
        </w:rPr>
      </w:pPr>
    </w:p>
    <w:p>
      <w:pPr>
        <w:ind w:left="120"/>
        <w:spacing w:after="0"/>
        <w:tabs>
          <w:tab w:leader="none" w:pos="10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 except per share data)</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620" w:type="dxa"/>
            <w:vAlign w:val="bottom"/>
            <w:gridSpan w:val="6"/>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1620" w:type="dxa"/>
            <w:vAlign w:val="bottom"/>
            <w:gridSpan w:val="6"/>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7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4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 w:type="dxa"/>
            <w:vAlign w:val="bottom"/>
          </w:tcPr>
          <w:p>
            <w:pPr>
              <w:spacing w:after="0"/>
              <w:rPr>
                <w:sz w:val="15"/>
                <w:szCs w:val="15"/>
                <w:color w:val="auto"/>
              </w:rPr>
            </w:pPr>
          </w:p>
        </w:tc>
        <w:tc>
          <w:tcPr>
            <w:tcW w:w="1620" w:type="dxa"/>
            <w:vAlign w:val="bottom"/>
            <w:gridSpan w:val="6"/>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7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63,150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59,531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9"/>
              </w:rPr>
              <w:t>185,022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5"/>
              </w:rPr>
              <w:t>162,964</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46,863</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42,911</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136,057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5"/>
              </w:rPr>
              <w:t>119,225</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Gross profit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16,287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16,620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48,965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43,739</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expenses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12,930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11,645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38,753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33,566</w:t>
            </w: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Revaluation of contingent consideration liability</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(1,982)</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selling, general and administrative expenses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12,930</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11,645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38,753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31,584</w:t>
            </w:r>
          </w:p>
        </w:tc>
        <w:tc>
          <w:tcPr>
            <w:tcW w:w="0" w:type="dxa"/>
            <w:vAlign w:val="bottom"/>
          </w:tcPr>
          <w:p>
            <w:pPr>
              <w:spacing w:after="0"/>
              <w:rPr>
                <w:sz w:val="1"/>
                <w:szCs w:val="1"/>
                <w:color w:val="auto"/>
              </w:rPr>
            </w:pPr>
          </w:p>
        </w:tc>
      </w:tr>
      <w:tr>
        <w:trPr>
          <w:trHeight w:val="223"/>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from operations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4,975</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10,212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 (expense), net</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(523)</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334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3,357</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4,740</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10,220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11,544</w:t>
            </w:r>
          </w:p>
        </w:tc>
        <w:tc>
          <w:tcPr>
            <w:tcW w:w="0" w:type="dxa"/>
            <w:vAlign w:val="bottom"/>
          </w:tcPr>
          <w:p>
            <w:pPr>
              <w:spacing w:after="0"/>
              <w:rPr>
                <w:sz w:val="1"/>
                <w:szCs w:val="1"/>
                <w:color w:val="auto"/>
              </w:rPr>
            </w:pPr>
          </w:p>
        </w:tc>
      </w:tr>
      <w:tr>
        <w:trPr>
          <w:trHeight w:val="216"/>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1,334</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3,206</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3,406</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7,174</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8,338</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20"/>
        </w:trPr>
        <w:tc>
          <w:tcPr>
            <w:tcW w:w="77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vMerge w:val="continue"/>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11,616</w:t>
            </w: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11,441</w:t>
            </w:r>
          </w:p>
        </w:tc>
        <w:tc>
          <w:tcPr>
            <w:tcW w:w="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11,430</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12,084</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96"/>
              </w:rPr>
              <w:t>12,025</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12,082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12,007</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82"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gridSpan w:val="7"/>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gridSpan w:val="5"/>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8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00" w:type="dxa"/>
            <w:vAlign w:val="bottom"/>
            <w:gridSpan w:val="7"/>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20" w:type="dxa"/>
            <w:vAlign w:val="bottom"/>
            <w:gridSpan w:val="5"/>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8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tcBorders>
          </w:tcPr>
          <w:p>
            <w:pPr>
              <w:jc w:val="right"/>
              <w:ind w:right="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540" w:type="dxa"/>
            <w:vAlign w:val="bottom"/>
            <w:tcBorders>
              <w:top w:val="single" w:sz="8" w:color="auto"/>
            </w:tcBorders>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r>
      <w:tr>
        <w:trPr>
          <w:trHeight w:val="210"/>
        </w:trPr>
        <w:tc>
          <w:tcPr>
            <w:tcW w:w="8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$ 2,406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w:t>
            </w: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$ 7,174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$ 8,338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unrealized gain on interest-rate swap contracts</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 w:type="dxa"/>
            <w:vAlign w:val="bottom"/>
          </w:tcPr>
          <w:p>
            <w:pPr>
              <w:spacing w:after="0"/>
              <w:rPr>
                <w:sz w:val="18"/>
                <w:szCs w:val="18"/>
                <w:color w:val="auto"/>
              </w:rPr>
            </w:pPr>
          </w:p>
        </w:tc>
        <w:tc>
          <w:tcPr>
            <w:tcW w:w="6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(701)</w:t>
            </w:r>
          </w:p>
        </w:tc>
        <w:tc>
          <w:tcPr>
            <w:tcW w:w="7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r>
      <w:tr>
        <w:trPr>
          <w:trHeight w:val="27"/>
        </w:trPr>
        <w:tc>
          <w:tcPr>
            <w:tcW w:w="80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0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pretax net unrealized gain (loss)</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(701)</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w:t>
            </w:r>
          </w:p>
        </w:tc>
      </w:tr>
      <w:tr>
        <w:trPr>
          <w:trHeight w:val="216"/>
        </w:trPr>
        <w:tc>
          <w:tcPr>
            <w:tcW w:w="80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Income tax expense</w:t>
            </w:r>
          </w:p>
        </w:tc>
        <w:tc>
          <w:tcPr>
            <w:tcW w:w="2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r>
      <w:tr>
        <w:trPr>
          <w:trHeight w:val="27"/>
        </w:trPr>
        <w:tc>
          <w:tcPr>
            <w:tcW w:w="808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gain (loss), net of taxes</w:t>
            </w:r>
          </w:p>
        </w:tc>
        <w:tc>
          <w:tcPr>
            <w:tcW w:w="2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(235)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(701)</w:t>
            </w:r>
          </w:p>
        </w:tc>
        <w:tc>
          <w:tcPr>
            <w:tcW w:w="7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20" w:type="dxa"/>
            <w:vAlign w:val="bottom"/>
            <w:tcBorders>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$ 2,171</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16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$ 6,473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$ 8,281</w:t>
            </w:r>
          </w:p>
        </w:tc>
        <w:tc>
          <w:tcPr>
            <w:tcW w:w="120" w:type="dxa"/>
            <w:vAlign w:val="bottom"/>
          </w:tcPr>
          <w:p>
            <w:pPr>
              <w:spacing w:after="0"/>
              <w:rPr>
                <w:sz w:val="19"/>
                <w:szCs w:val="19"/>
                <w:color w:val="auto"/>
              </w:rPr>
            </w:pPr>
          </w:p>
        </w:tc>
      </w:tr>
      <w:tr>
        <w:trPr>
          <w:trHeight w:val="20"/>
        </w:trPr>
        <w:tc>
          <w:tcPr>
            <w:tcW w:w="8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data)</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80" w:type="dxa"/>
            <w:vAlign w:val="bottom"/>
          </w:tcPr>
          <w:p>
            <w:pPr>
              <w:spacing w:after="0"/>
              <w:rPr>
                <w:sz w:val="13"/>
                <w:szCs w:val="13"/>
                <w:color w:val="auto"/>
              </w:rPr>
            </w:pP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87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2022</w:t>
            </w:r>
          </w:p>
        </w:tc>
        <w:tc>
          <w:tcPr>
            <w:tcW w:w="4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r>
      <w:tr>
        <w:trPr>
          <w:trHeight w:val="196"/>
        </w:trPr>
        <w:tc>
          <w:tcPr>
            <w:tcW w:w="87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3,482</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6,622</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 of allowance for uncollectible accounts of $444 in 2022 and $375 in 2021</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37,257</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34,153</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Unbilled receivables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13,183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9,240</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3,833</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3,890</w:t>
            </w:r>
          </w:p>
        </w:tc>
      </w:tr>
      <w:tr>
        <w:trPr>
          <w:trHeight w:val="27"/>
        </w:trPr>
        <w:tc>
          <w:tcPr>
            <w:tcW w:w="8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57,755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53,905</w:t>
            </w: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Equipment, enterprise software, and leasehold improvements, at cost:</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Equipment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2,821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2,356</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Enterprise software</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4,146</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3,753</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737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842</w:t>
            </w:r>
          </w:p>
        </w:tc>
      </w:tr>
      <w:tr>
        <w:trPr>
          <w:trHeight w:val="223"/>
        </w:trPr>
        <w:tc>
          <w:tcPr>
            <w:tcW w:w="87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7,704</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6,951</w:t>
            </w:r>
          </w:p>
        </w:tc>
        <w:tc>
          <w:tcPr>
            <w:tcW w:w="120" w:type="dxa"/>
            <w:vAlign w:val="bottom"/>
          </w:tcPr>
          <w:p>
            <w:pPr>
              <w:spacing w:after="0"/>
              <w:rPr>
                <w:sz w:val="19"/>
                <w:szCs w:val="19"/>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Less – accumulated depreciation and amortization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(4,723)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(3,913)</w:t>
            </w: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Net equipment, enterprise software, and leasehold improvements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2,981</w:t>
            </w: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3,038</w:t>
            </w:r>
          </w:p>
        </w:tc>
        <w:tc>
          <w:tcPr>
            <w:tcW w:w="120" w:type="dxa"/>
            <w:vAlign w:val="bottom"/>
          </w:tcPr>
          <w:p>
            <w:pPr>
              <w:spacing w:after="0"/>
              <w:rPr>
                <w:sz w:val="19"/>
                <w:szCs w:val="19"/>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4,263</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4,894</w:t>
            </w: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net</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Non-current deposits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571</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595</w:t>
            </w: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Goodwill, net of impairment</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32,510</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32,510</w:t>
            </w: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 net of amortization</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16,385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18,760</w:t>
            </w:r>
          </w:p>
        </w:tc>
      </w:tr>
      <w:tr>
        <w:trPr>
          <w:trHeight w:val="223"/>
        </w:trPr>
        <w:tc>
          <w:tcPr>
            <w:tcW w:w="87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114,776</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113,702</w:t>
            </w:r>
          </w:p>
        </w:tc>
        <w:tc>
          <w:tcPr>
            <w:tcW w:w="12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2,200</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4,400</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5,831</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4,954</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15,628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14,240</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portion of operating lease liability</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1,500</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1,479</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1,035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1,227</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550</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544</w:t>
            </w:r>
          </w:p>
        </w:tc>
      </w:tr>
      <w:tr>
        <w:trPr>
          <w:trHeight w:val="27"/>
        </w:trPr>
        <w:tc>
          <w:tcPr>
            <w:tcW w:w="8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26,744</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26,844</w:t>
            </w:r>
          </w:p>
        </w:tc>
      </w:tr>
      <w:tr>
        <w:trPr>
          <w:trHeight w:val="223"/>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 less current portion, net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8,334</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liability, less current portion</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2,699</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3,706</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accrued income taxes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761</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265</w:t>
            </w:r>
          </w:p>
        </w:tc>
      </w:tr>
      <w:tr>
        <w:trPr>
          <w:trHeight w:val="27"/>
        </w:trPr>
        <w:tc>
          <w:tcPr>
            <w:tcW w:w="8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30,309</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39,274</w:t>
            </w:r>
          </w:p>
        </w:tc>
      </w:tr>
      <w:tr>
        <w:trPr>
          <w:trHeight w:val="216"/>
        </w:trPr>
        <w:tc>
          <w:tcPr>
            <w:tcW w:w="87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contingent liabilities (Note 6)</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no par value; 20,000,000 shares authorized; none outstanding</w:t>
            </w: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7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Common Stock, par value $.01; 250,000,000 shares authorized and 13,264,129 shares issued as of</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8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September 30, 2022 and 13,112,202 shares issued as of December 31, 2021</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133</w:t>
            </w: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31,814</w:t>
            </w:r>
          </w:p>
        </w:tc>
        <w:tc>
          <w:tcPr>
            <w:tcW w:w="18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28,250</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58,015</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50,841</w:t>
            </w:r>
          </w:p>
        </w:tc>
      </w:tr>
      <w:tr>
        <w:trPr>
          <w:trHeight w:val="216"/>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(1,308)</w:t>
            </w:r>
          </w:p>
        </w:tc>
        <w:tc>
          <w:tcPr>
            <w:tcW w:w="18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(607)</w:t>
            </w:r>
          </w:p>
        </w:tc>
      </w:tr>
      <w:tr>
        <w:trPr>
          <w:trHeight w:val="216"/>
        </w:trPr>
        <w:tc>
          <w:tcPr>
            <w:tcW w:w="8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stock, at cost; 1,646,420 shares as of September 30, 2022 and as of December 31, 2021</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(4,187)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(4,187)</w:t>
            </w:r>
          </w:p>
        </w:tc>
      </w:tr>
      <w:tr>
        <w:trPr>
          <w:trHeight w:val="230"/>
        </w:trPr>
        <w:tc>
          <w:tcPr>
            <w:tcW w:w="8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84,467</w:t>
            </w: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74,428</w:t>
            </w:r>
          </w:p>
        </w:tc>
        <w:tc>
          <w:tcPr>
            <w:tcW w:w="120" w:type="dxa"/>
            <w:vAlign w:val="bottom"/>
          </w:tcPr>
          <w:p>
            <w:pPr>
              <w:spacing w:after="0"/>
              <w:rPr>
                <w:sz w:val="20"/>
                <w:szCs w:val="20"/>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114,776</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113,702</w:t>
            </w:r>
          </w:p>
        </w:tc>
      </w:tr>
      <w:tr>
        <w:trPr>
          <w:trHeight w:val="20"/>
        </w:trPr>
        <w:tc>
          <w:tcPr>
            <w:tcW w:w="8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320" w:top="48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3"/>
                <w:szCs w:val="13"/>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40" w:type="dxa"/>
            <w:vAlign w:val="bottom"/>
            <w:gridSpan w:val="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4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840" w:type="dxa"/>
            <w:vAlign w:val="bottom"/>
            <w:gridSpan w:val="6"/>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5"/>
                <w:szCs w:val="15"/>
                <w:color w:val="auto"/>
              </w:rPr>
            </w:pP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740" w:type="dxa"/>
            <w:vAlign w:val="bottom"/>
            <w:gridSpan w:val="2"/>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2021</w:t>
            </w: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131</w:t>
            </w: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$ 28,250</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50,841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0"/>
              </w:rPr>
              <w:t>$(4,187)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8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2,332</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2,332</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891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893</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Balances, March 31, 2022</w:t>
            </w: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8"/>
              </w:rPr>
              <w:t>133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$ 29,667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53,173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(4,187</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78,032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2,436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2,436</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Employee common stock purchases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199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(319)</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(319)</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752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430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430</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Balances, June 30, 2022</w:t>
            </w: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8"/>
              </w:rPr>
              <w:t>133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$ 31,048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55,609</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(4,187</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2,406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2,406</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Employee common stock purchases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(235)</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776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776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Balances, September 30, 2022</w:t>
            </w:r>
          </w:p>
        </w:tc>
        <w:tc>
          <w:tcPr>
            <w:tcW w:w="1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w w:val="88"/>
              </w:rPr>
              <w:t>133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$ 31,814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(4,187</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(1,308)</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84,467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24"/>
                <w:szCs w:val="24"/>
                <w:color w:val="auto"/>
              </w:rPr>
            </w:pPr>
          </w:p>
        </w:tc>
        <w:tc>
          <w:tcPr>
            <w:tcW w:w="8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8"/>
        </w:trPr>
        <w:tc>
          <w:tcPr>
            <w:tcW w:w="5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5"/>
            <w:vMerge w:val="continue"/>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73"/>
        </w:trPr>
        <w:tc>
          <w:tcPr>
            <w:tcW w:w="5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5"/>
                <w:szCs w:val="15"/>
                <w:color w:val="auto"/>
              </w:rPr>
            </w:pPr>
          </w:p>
        </w:tc>
        <w:tc>
          <w:tcPr>
            <w:tcW w:w="7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5"/>
                <w:szCs w:val="15"/>
                <w:color w:val="auto"/>
              </w:rPr>
            </w:pPr>
          </w:p>
        </w:tc>
        <w:tc>
          <w:tcPr>
            <w:tcW w:w="740" w:type="dxa"/>
            <w:vAlign w:val="bottom"/>
            <w:gridSpan w:val="2"/>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6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2020</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w w:val="96"/>
              </w:rPr>
              <w:t>130</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$ 25,509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38,620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0"/>
              </w:rPr>
              <w:t>$(4,187)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59,533</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1,194</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1,194</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gain, net of taxes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621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Balances, March 31, 2021</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w w:val="96"/>
              </w:rPr>
              <w:t>130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$ 26,231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39,814</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(4,187</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3,738</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3,738</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Employee common stock purchases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net of taxes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options exercised</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Balances, June 30, 2021</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w w:val="96"/>
              </w:rPr>
              <w:t>131</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$ 27,172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43,552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(4,187</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66,041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3,406</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3,406</w:t>
            </w:r>
          </w:p>
        </w:tc>
        <w:tc>
          <w:tcPr>
            <w:tcW w:w="0" w:type="dxa"/>
            <w:vAlign w:val="bottom"/>
          </w:tcPr>
          <w:p>
            <w:pPr>
              <w:spacing w:after="0"/>
              <w:rPr>
                <w:sz w:val="1"/>
                <w:szCs w:val="1"/>
                <w:color w:val="auto"/>
              </w:rPr>
            </w:pPr>
          </w:p>
        </w:tc>
      </w:tr>
      <w:tr>
        <w:trPr>
          <w:trHeight w:val="216"/>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gain, net of taxes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780" w:type="dxa"/>
            <w:vAlign w:val="bottom"/>
            <w:gridSpan w:val="3"/>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693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693</w:t>
            </w:r>
          </w:p>
        </w:tc>
        <w:tc>
          <w:tcPr>
            <w:tcW w:w="0" w:type="dxa"/>
            <w:vAlign w:val="bottom"/>
          </w:tcPr>
          <w:p>
            <w:pPr>
              <w:spacing w:after="0"/>
              <w:rPr>
                <w:sz w:val="1"/>
                <w:szCs w:val="1"/>
                <w:color w:val="auto"/>
              </w:rPr>
            </w:pPr>
          </w:p>
        </w:tc>
      </w:tr>
      <w:tr>
        <w:trPr>
          <w:trHeight w:val="223"/>
        </w:trPr>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Balances, September 30, 2021</w:t>
            </w:r>
          </w:p>
        </w:tc>
        <w:tc>
          <w:tcPr>
            <w:tcW w:w="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8"/>
                <w:szCs w:val="18"/>
                <w:color w:val="auto"/>
                <w:w w:val="96"/>
              </w:rPr>
              <w:t>131</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$ 27,865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46,958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(4,187</w:t>
            </w:r>
          </w:p>
        </w:tc>
        <w:tc>
          <w:tcPr>
            <w:tcW w:w="1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914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9140"/>
        <w:spacing w:after="0"/>
        <w:rPr>
          <w:sz w:val="20"/>
          <w:szCs w:val="20"/>
          <w:color w:val="auto"/>
        </w:rPr>
      </w:pPr>
      <w:r>
        <w:rPr>
          <w:rFonts w:ascii="Times New Roman" w:cs="Times New Roman" w:eastAsia="Times New Roman" w:hAnsi="Times New Roman"/>
          <w:sz w:val="14"/>
          <w:szCs w:val="14"/>
          <w:b w:val="1"/>
          <w:bCs w:val="1"/>
          <w:color w:val="auto"/>
        </w:rPr>
        <w:t>September 30,</w:t>
      </w:r>
    </w:p>
    <w:tbl>
      <w:tblPr>
        <w:tblLayout w:type="fixed"/>
        <w:tblInd w:w="120" w:type="dxa"/>
        <w:tblCellMar>
          <w:top w:w="0" w:type="dxa"/>
          <w:left w:w="0" w:type="dxa"/>
          <w:bottom w:w="0" w:type="dxa"/>
          <w:right w:w="0" w:type="dxa"/>
        </w:tblCellMar>
      </w:tblPr>
      <w:tr>
        <w:trPr>
          <w:trHeight w:val="142"/>
        </w:trPr>
        <w:tc>
          <w:tcPr>
            <w:tcW w:w="9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2"/>
                <w:szCs w:val="12"/>
                <w:color w:val="auto"/>
              </w:rPr>
            </w:pPr>
          </w:p>
        </w:tc>
      </w:tr>
      <w:tr>
        <w:trPr>
          <w:trHeight w:val="196"/>
        </w:trPr>
        <w:tc>
          <w:tcPr>
            <w:tcW w:w="92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OPERATING ACTIVITIES:</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9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income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7,174</w:t>
            </w:r>
          </w:p>
        </w:tc>
        <w:tc>
          <w:tcPr>
            <w:tcW w:w="1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8,338</w:t>
            </w:r>
          </w:p>
        </w:tc>
      </w:tr>
      <w:tr>
        <w:trPr>
          <w:trHeight w:val="216"/>
        </w:trPr>
        <w:tc>
          <w:tcPr>
            <w:tcW w:w="9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income to cash provided by (used in) operating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2,984</w:t>
            </w:r>
          </w:p>
        </w:tc>
      </w:tr>
      <w:tr>
        <w:trPr>
          <w:trHeight w:val="216"/>
        </w:trPr>
        <w:tc>
          <w:tcPr>
            <w:tcW w:w="9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Bad debt expense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9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Interest amortization of deferred financing costs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2,071</w:t>
            </w:r>
          </w:p>
        </w:tc>
      </w:tr>
      <w:tr>
        <w:trPr>
          <w:trHeight w:val="216"/>
        </w:trPr>
        <w:tc>
          <w:tcPr>
            <w:tcW w:w="9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813</w:t>
            </w:r>
          </w:p>
        </w:tc>
      </w:tr>
      <w:tr>
        <w:trPr>
          <w:trHeight w:val="216"/>
        </w:trPr>
        <w:tc>
          <w:tcPr>
            <w:tcW w:w="9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Revaluation of contingent consideration liability</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(1,982)</w:t>
            </w:r>
          </w:p>
        </w:tc>
      </w:tr>
      <w:tr>
        <w:trPr>
          <w:trHeight w:val="216"/>
        </w:trPr>
        <w:tc>
          <w:tcPr>
            <w:tcW w:w="9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Operating lease assets and liabilities, net</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9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Loss on disposition of fixed assets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9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Long term accrued income taxes</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Working capital items: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receivable and unbilled receivables</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(7,097)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7"/>
              </w:rPr>
              <w:t>(13,391)</w:t>
            </w:r>
          </w:p>
        </w:tc>
      </w:tr>
      <w:tr>
        <w:trPr>
          <w:trHeight w:val="216"/>
        </w:trPr>
        <w:tc>
          <w:tcPr>
            <w:tcW w:w="9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(2,825)</w:t>
            </w:r>
          </w:p>
        </w:tc>
      </w:tr>
      <w:tr>
        <w:trPr>
          <w:trHeight w:val="216"/>
        </w:trPr>
        <w:tc>
          <w:tcPr>
            <w:tcW w:w="9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2,353</w:t>
            </w:r>
          </w:p>
        </w:tc>
      </w:tr>
      <w:tr>
        <w:trPr>
          <w:trHeight w:val="216"/>
        </w:trPr>
        <w:tc>
          <w:tcPr>
            <w:tcW w:w="9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Accrued payroll and related costs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3,178</w:t>
            </w:r>
          </w:p>
        </w:tc>
      </w:tr>
      <w:tr>
        <w:trPr>
          <w:trHeight w:val="216"/>
        </w:trPr>
        <w:tc>
          <w:tcPr>
            <w:tcW w:w="92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100" w:type="dxa"/>
            <w:vAlign w:val="bottom"/>
          </w:tcPr>
          <w:p>
            <w:pPr>
              <w:spacing w:after="0"/>
              <w:rPr>
                <w:sz w:val="18"/>
                <w:szCs w:val="18"/>
                <w:color w:val="auto"/>
              </w:rPr>
            </w:pPr>
          </w:p>
        </w:tc>
        <w:tc>
          <w:tcPr>
            <w:tcW w:w="7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2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92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flows provided by (used in)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7,744</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120" w:type="dxa"/>
            <w:vAlign w:val="bottom"/>
          </w:tcPr>
          <w:p>
            <w:pPr>
              <w:spacing w:after="0"/>
              <w:rPr>
                <w:sz w:val="20"/>
                <w:szCs w:val="20"/>
                <w:color w:val="auto"/>
              </w:rPr>
            </w:pPr>
          </w:p>
        </w:tc>
      </w:tr>
      <w:tr>
        <w:trPr>
          <w:trHeight w:val="216"/>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9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Recovery of (payment for) non-current deposits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9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(851)</w:t>
            </w:r>
          </w:p>
        </w:tc>
      </w:tr>
      <w:tr>
        <w:trPr>
          <w:trHeight w:val="216"/>
        </w:trPr>
        <w:tc>
          <w:tcPr>
            <w:tcW w:w="9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sale of fixed assets</w:t>
            </w:r>
          </w:p>
        </w:tc>
        <w:tc>
          <w:tcPr>
            <w:tcW w:w="100" w:type="dxa"/>
            <w:vAlign w:val="bottom"/>
          </w:tcPr>
          <w:p>
            <w:pPr>
              <w:spacing w:after="0"/>
              <w:rPr>
                <w:sz w:val="18"/>
                <w:szCs w:val="18"/>
                <w:color w:val="auto"/>
              </w:rPr>
            </w:pPr>
          </w:p>
        </w:tc>
        <w:tc>
          <w:tcPr>
            <w:tcW w:w="5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9260" w:type="dxa"/>
            <w:vAlign w:val="bottom"/>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Net cash flows provided by (used in) investing activities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(1,042)</w:t>
            </w:r>
          </w:p>
        </w:tc>
      </w:tr>
      <w:tr>
        <w:trPr>
          <w:trHeight w:val="223"/>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9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on term loan facility</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7"/>
              </w:rPr>
              <w:t>(10,900)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(3,300)</w:t>
            </w:r>
          </w:p>
        </w:tc>
      </w:tr>
      <w:tr>
        <w:trPr>
          <w:trHeight w:val="216"/>
        </w:trPr>
        <w:tc>
          <w:tcPr>
            <w:tcW w:w="92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the issuance of common shares</w:t>
            </w: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92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105</w:t>
            </w:r>
          </w:p>
        </w:tc>
      </w:tr>
      <w:tr>
        <w:trPr>
          <w:trHeight w:val="230"/>
        </w:trPr>
        <w:tc>
          <w:tcPr>
            <w:tcW w:w="926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Net cash flows provided by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(9,388)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120" w:type="dxa"/>
            <w:vAlign w:val="bottom"/>
          </w:tcPr>
          <w:p>
            <w:pPr>
              <w:spacing w:after="0"/>
              <w:rPr>
                <w:sz w:val="20"/>
                <w:szCs w:val="20"/>
                <w:color w:val="auto"/>
              </w:rPr>
            </w:pPr>
          </w:p>
        </w:tc>
      </w:tr>
      <w:tr>
        <w:trPr>
          <w:trHeight w:val="216"/>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(83)</w:t>
            </w:r>
          </w:p>
        </w:tc>
      </w:tr>
      <w:tr>
        <w:trPr>
          <w:trHeight w:val="223"/>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20" w:type="dxa"/>
            <w:vAlign w:val="bottom"/>
          </w:tcPr>
          <w:p>
            <w:pPr>
              <w:spacing w:after="0"/>
              <w:rPr>
                <w:sz w:val="19"/>
                <w:szCs w:val="19"/>
                <w:color w:val="auto"/>
              </w:rPr>
            </w:pPr>
          </w:p>
        </w:tc>
      </w:tr>
      <w:tr>
        <w:trPr>
          <w:trHeight w:val="216"/>
        </w:trPr>
        <w:tc>
          <w:tcPr>
            <w:tcW w:w="9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6,622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7,677</w:t>
            </w:r>
          </w:p>
        </w:tc>
      </w:tr>
      <w:tr>
        <w:trPr>
          <w:trHeight w:val="223"/>
        </w:trPr>
        <w:tc>
          <w:tcPr>
            <w:tcW w:w="92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120" w:type="dxa"/>
            <w:vAlign w:val="bottom"/>
          </w:tcPr>
          <w:p>
            <w:pPr>
              <w:spacing w:after="0"/>
              <w:rPr>
                <w:sz w:val="19"/>
                <w:szCs w:val="19"/>
                <w:color w:val="auto"/>
              </w:rPr>
            </w:pPr>
          </w:p>
        </w:tc>
      </w:tr>
      <w:tr>
        <w:trPr>
          <w:trHeight w:val="20"/>
        </w:trPr>
        <w:tc>
          <w:tcPr>
            <w:tcW w:w="9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MASTECH DIGITAL,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SEPTEMBER 30, 2022 AND 2021</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left="560" w:right="6720" w:hanging="444"/>
        <w:spacing w:after="0" w:line="377" w:lineRule="auto"/>
        <w:tabs>
          <w:tab w:leader="none" w:pos="55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Business and Basis of Presentation: Basis of Presentation</w:t>
      </w:r>
    </w:p>
    <w:p>
      <w:pPr>
        <w:spacing w:after="0" w:line="2"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References in this Quarterly Report on Form 10-Q to “we”, “our”, “Mastech Digital”, “Mastech” or “the Company” refer collectively to Mastech Digital, Inc. and its wholly-owned operating subsidiaries, which are included in these Condensed Consolidated Financial Statements (the “Financial Statements”).</w:t>
      </w:r>
    </w:p>
    <w:p>
      <w:pPr>
        <w:spacing w:after="0" w:line="2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Our portfolio of offerings includes data management and analytics services; digital learning services; and IT staffing services.</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 our 2017 acquisition of the services division of Canada-based InfoTrellis, Inc., we added specialized capabilities in delivering data and analytics services to our customers, which became our Data and Analytics Services segment. This segment offers project-based consulting services in the areas of data management, data engineering and data science, with such services delivered using on-site and offshore resources. In October 2020, we acquired AmberLeaf Partners, Inc. (“AmberLeaf”), a Chicago-based customer experience consulting firm. This acquisition expanded our Data and Analytics Services segment’s capabilities in customer experience strategy and managed services offering for a variety of Cloud-based enterprise applications across sales, marketing and customer services organizations.</w:t>
      </w:r>
    </w:p>
    <w:p>
      <w:pPr>
        <w:spacing w:after="0" w:line="187"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Our IT Staffing Services segment combines technical expertise with business process experience to deliver a broad range of staffing services in digital and mainstream technologies. Our digital technologies include data management, analytics, cloud, mobility, social and artificial intelligence. We work with businesses and institutions with significant IT spending and recurring staffing service needs. We also support smaller organizations with their “project focused” temporary IT staffing requirements.</w:t>
      </w:r>
    </w:p>
    <w:p>
      <w:pPr>
        <w:spacing w:after="0" w:line="180" w:lineRule="exact"/>
        <w:rPr>
          <w:sz w:val="20"/>
          <w:szCs w:val="20"/>
          <w:color w:val="auto"/>
        </w:rPr>
      </w:pPr>
    </w:p>
    <w:p>
      <w:pPr>
        <w:jc w:val="both"/>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COVID-19 pandemic had a material impact on activity levels in both of our business segments in 2020. This impact was reduced in 2021 as a result of the global roll-out of vaccination programs and signs of improving economic conditions. COVID-19 related concerns have been less impactful on our business in 2022. Still the proliferation of COVID-19 variants have caused some uncertainty and could continue to disrupt global markets during the fourth quarter of 2022 and into 2023.</w:t>
      </w:r>
    </w:p>
    <w:p>
      <w:pPr>
        <w:spacing w:after="0" w:line="28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Accounting Principles</w:t>
      </w:r>
    </w:p>
    <w:p>
      <w:pPr>
        <w:spacing w:after="0" w:line="12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accompanying Financial Statements have been prepared by management in accordance with U.S. generally accepted accounting principles (“GAAP”) for interim financial information and applicable rules and regulations of the Securities and Exchange Commission (the “SEC”). Accordingly, they do not include all of the information and disclosures required by U.S. GAAP for complete consolidated financial statements. In the opinion of management, all adjustments, consisting principally of normal recurring adjustments, considered necessary for a fair presentation have been included. The preparation of financial statements in conformity with U.S. GAAP requires management to make estimates and assumptions that affect the amounts reported in the Financial Statements and the accompanying notes. Actual results could differ from these estimates. These Financial Statements should be read in conjunction with the Company’s audited consolidated financial statements and accompanying notes for the year ended December 31, 2021, included in our Annual Report on Form 10-K filed with the SEC on March 14, 2022. Additionally, our operating results for the three and nine months ended September 30, 2022 are not necessarily indicative of the results that can be expected for the year ending December 31, 2022 or for any other period.</w:t>
      </w:r>
    </w:p>
    <w:p>
      <w:pPr>
        <w:spacing w:after="0" w:line="29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 Financial Statements include the accounts of the Company and its wholly-owned subsidiaries. All material intercompany transactions and balances have been eliminated in consolidation.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00"/>
          </w:cols>
          <w:pgMar w:left="320" w:top="482" w:right="4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2021 for a more detailed discussion of our significant accounting policies and critical accounting estimates. There were no material changes to these critical accounting policies during the nine months ended September 30, 2022.</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left="120" w:right="620" w:firstLine="440"/>
        <w:spacing w:after="0" w:line="282" w:lineRule="auto"/>
        <w:rPr>
          <w:sz w:val="20"/>
          <w:szCs w:val="20"/>
          <w:color w:val="auto"/>
        </w:rPr>
      </w:pPr>
      <w:r>
        <w:rPr>
          <w:rFonts w:ascii="Times New Roman" w:cs="Times New Roman" w:eastAsia="Times New Roman" w:hAnsi="Times New Roman"/>
          <w:sz w:val="18"/>
          <w:szCs w:val="18"/>
          <w:color w:val="auto"/>
        </w:rPr>
        <w:t>The Company has two reportable segments, in accordance with Accounting Standards Committee (“ASC”) Topic 280 “Disclosures About Segments of an Enterprise and Related Information”: Data and Analytics Services and IT Staffing Services.</w:t>
      </w:r>
    </w:p>
    <w:p>
      <w:pPr>
        <w:spacing w:after="0" w:line="306" w:lineRule="exact"/>
        <w:rPr>
          <w:sz w:val="20"/>
          <w:szCs w:val="20"/>
          <w:color w:val="auto"/>
        </w:rPr>
      </w:pPr>
    </w:p>
    <w:p>
      <w:pPr>
        <w:ind w:left="540" w:hanging="424"/>
        <w:spacing w:after="0"/>
        <w:tabs>
          <w:tab w:leader="none" w:pos="5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recognizes revenue on time-and-material contracts over time as services are performed and expenses are incurred. Time-and-material contracts typically bill at an agreed-upon hourly rate, plus out-of-pocket expense reimbursement. Out-of-pocket expense reimbursement amounts vary by assignment, but on average represent less than 2% of the total contract revenues. Revenue is earned on a per transaction or labor hour basis, as that amount directly corresponds to the value of the Company’s performance. Revenue recognition is negatively impacted by holidays and consultant vacation and sick days.</w:t>
      </w:r>
    </w:p>
    <w:p>
      <w:pPr>
        <w:spacing w:after="0" w:line="183" w:lineRule="exact"/>
        <w:rPr>
          <w:sz w:val="20"/>
          <w:szCs w:val="20"/>
          <w:color w:val="auto"/>
        </w:rPr>
      </w:pPr>
    </w:p>
    <w:p>
      <w:pPr>
        <w:ind w:left="120" w:right="200" w:firstLine="440"/>
        <w:spacing w:after="0" w:line="255" w:lineRule="auto"/>
        <w:rPr>
          <w:sz w:val="20"/>
          <w:szCs w:val="20"/>
          <w:color w:val="auto"/>
        </w:rPr>
      </w:pPr>
      <w:r>
        <w:rPr>
          <w:rFonts w:ascii="Times New Roman" w:cs="Times New Roman" w:eastAsia="Times New Roman" w:hAnsi="Times New Roman"/>
          <w:sz w:val="18"/>
          <w:szCs w:val="18"/>
          <w:color w:val="auto"/>
        </w:rPr>
        <w:t>The Company recognizes revenue on fixed price contracts over time as services are rendered and uses a cost-based input method to measure progress. Determining a measure of progress requires management to make judgments that affect the timing of revenue recognized. Under the cost-based input method, the extent of progress towards completion is measured based on the ratio of costs incurred to date to the total estimated costs at completion of the performance obligation. Revenues, including estimated fees or profits, are recorded proportionally as costs are incurred. The Company has determined that the cost-based input method provides a faithful depiction of the transfer of goods or services to the customer. Estimated losses are recognized immediately in the period in which current estimates indicate a loss. We record deferred revenues when cash payments are received or due in advance of our performance, including amounts which may be refundable.</w:t>
      </w:r>
    </w:p>
    <w:p>
      <w:pPr>
        <w:spacing w:after="0" w:line="18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Company’s time-and-material and fixed price revenue streams are recognized over time as the customer receives and consumes the benefits of the Company’s performance as the work is performed.</w:t>
      </w:r>
    </w:p>
    <w:p>
      <w:pPr>
        <w:spacing w:after="0" w:line="162"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In certain situations related to client direct hire assignments, where the Company’s fee is contingent upon the hired resources continued employment with the client, revenue is not fully recognized until such employment conditions are satisfied.</w:t>
      </w:r>
    </w:p>
    <w:p>
      <w:pPr>
        <w:spacing w:after="0" w:line="162"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do not sell, lease or otherwise market computer software or hardware, and essentially 100% of our revenue is derived from the sale of data and analytics, IT staffing and digital transformation services. We expense sales commissions in the same period in which revenues are realized. These costs are recorded within sales and marketing expenses.</w:t>
      </w:r>
    </w:p>
    <w:p>
      <w:pPr>
        <w:spacing w:after="0" w:line="176"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Each contract the Company enters into is assessed to determine the promised services to be performed and includes identification of the performance obligations required by the contract. In substantially all of our contracts, we have identified a single performance obligation for each contract either because the promised services are distinct or the promised services are highly interrelated and interdependent and therefore represent a combined single performance obligation.</w:t>
      </w:r>
    </w:p>
    <w:p>
      <w:pPr>
        <w:spacing w:after="0" w:line="180"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Our Data and Analytics Services segment provides specialized capabilities in delivering data management and analytics services to its customers. This business offers project-based consulting services in the areas of Master Data Management, Enterprise Data Integration, Data Engineering and Analytics, which can be delivered using onsite and offshore resources.</w:t>
      </w:r>
    </w:p>
    <w:p>
      <w:pPr>
        <w:spacing w:after="0" w:line="176"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Our IT Staffing Services segment combines technical expertise with business process experience to deliver a broad range of services in digital and mainstream technologies. Our digital technology stack includes data management and analytics, cloud, mobility, social and automation. Our mainstream technologies include business intelligence / data warehousing; web services; enterprise resource planning &amp; customer resource management; and e-Business solutions. We work with businesses and institutions with significant IT spend and recurring staffing needs. We also support smaller organizations with their “project focused” temporary IT staffing requirements.</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depicts the disaggregation of our revenues by contract type and operating segment:</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60" w:type="dxa"/>
            <w:vAlign w:val="bottom"/>
            <w:gridSpan w:val="5"/>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156"/>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1"/>
              </w:rPr>
              <w:t>(Amounts</w:t>
            </w:r>
          </w:p>
        </w:tc>
        <w:tc>
          <w:tcPr>
            <w:tcW w:w="34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8"/>
              </w:rPr>
              <w:t>(Amounts</w:t>
            </w:r>
          </w:p>
        </w:tc>
        <w:tc>
          <w:tcPr>
            <w:tcW w:w="3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4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47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Data and Analytics Services Segment</w:t>
            </w: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8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Time-and-material Contracts</w:t>
            </w:r>
          </w:p>
        </w:tc>
        <w:tc>
          <w:tcPr>
            <w:tcW w:w="196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CEEFF"/>
            </w:tcBorders>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6,524</w:t>
            </w:r>
          </w:p>
        </w:tc>
        <w:tc>
          <w:tcPr>
            <w:tcW w:w="2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6,021</w:t>
            </w:r>
          </w:p>
        </w:tc>
        <w:tc>
          <w:tcPr>
            <w:tcW w:w="2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gridSpan w:val="2"/>
          </w:tcPr>
          <w:p>
            <w:pPr>
              <w:jc w:val="right"/>
              <w:ind w:right="248"/>
              <w:spacing w:after="0"/>
              <w:rPr>
                <w:sz w:val="20"/>
                <w:szCs w:val="20"/>
                <w:color w:val="auto"/>
              </w:rPr>
            </w:pPr>
            <w:r>
              <w:rPr>
                <w:rFonts w:ascii="Times New Roman" w:cs="Times New Roman" w:eastAsia="Times New Roman" w:hAnsi="Times New Roman"/>
                <w:sz w:val="18"/>
                <w:szCs w:val="18"/>
                <w:color w:val="auto"/>
              </w:rPr>
              <w:t>19,568</w:t>
            </w:r>
          </w:p>
        </w:tc>
        <w:tc>
          <w:tcPr>
            <w:tcW w:w="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17,792</w:t>
            </w: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Fixed-price Contracts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color w:val="auto"/>
              </w:rPr>
              <w:t>3,552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4,502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color w:val="auto"/>
              </w:rPr>
              <w:t>11,910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10,475</w:t>
            </w:r>
          </w:p>
        </w:tc>
      </w:tr>
      <w:tr>
        <w:trPr>
          <w:trHeight w:val="223"/>
        </w:trPr>
        <w:tc>
          <w:tcPr>
            <w:tcW w:w="20" w:type="dxa"/>
            <w:vAlign w:val="bottom"/>
          </w:tcPr>
          <w:p>
            <w:pPr>
              <w:spacing w:after="0"/>
              <w:rPr>
                <w:sz w:val="19"/>
                <w:szCs w:val="19"/>
                <w:color w:val="auto"/>
              </w:rPr>
            </w:pPr>
          </w:p>
        </w:tc>
        <w:tc>
          <w:tcPr>
            <w:tcW w:w="478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Subtotal Data and Analytics Services</w:t>
            </w:r>
          </w:p>
        </w:tc>
        <w:tc>
          <w:tcPr>
            <w:tcW w:w="1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2"/>
              </w:rPr>
              <w:t>10,076</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2"/>
              </w:rPr>
              <w:t>10,523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31,478</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28,267</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780" w:type="dxa"/>
            <w:vAlign w:val="bottom"/>
            <w:gridSpan w:val="3"/>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IT Staffing Services Segment</w:t>
            </w:r>
          </w:p>
        </w:tc>
        <w:tc>
          <w:tcPr>
            <w:tcW w:w="1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22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Time-and-material Contracts</w:t>
            </w:r>
          </w:p>
        </w:tc>
        <w:tc>
          <w:tcPr>
            <w:tcW w:w="2580" w:type="dxa"/>
            <w:vAlign w:val="bottom"/>
            <w:tcBorders>
              <w:top w:val="single" w:sz="8" w:color="CCEEFF"/>
            </w:tcBorders>
            <w:gridSpan w:val="2"/>
          </w:tcPr>
          <w:p>
            <w:pPr>
              <w:spacing w:after="0"/>
              <w:rPr>
                <w:sz w:val="18"/>
                <w:szCs w:val="18"/>
                <w:color w:val="auto"/>
              </w:rPr>
            </w:pPr>
          </w:p>
        </w:tc>
        <w:tc>
          <w:tcPr>
            <w:tcW w:w="16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CCEEFF"/>
            </w:tcBorders>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53,074</w:t>
            </w:r>
          </w:p>
        </w:tc>
        <w:tc>
          <w:tcPr>
            <w:tcW w:w="28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49,008</w:t>
            </w:r>
          </w:p>
        </w:tc>
        <w:tc>
          <w:tcPr>
            <w:tcW w:w="260" w:type="dxa"/>
            <w:vAlign w:val="bottom"/>
            <w:tcBorders>
              <w:top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CCEEFF"/>
            </w:tcBorders>
            <w:gridSpan w:val="2"/>
          </w:tcPr>
          <w:p>
            <w:pPr>
              <w:jc w:val="right"/>
              <w:ind w:right="248"/>
              <w:spacing w:after="0"/>
              <w:rPr>
                <w:sz w:val="20"/>
                <w:szCs w:val="20"/>
                <w:color w:val="auto"/>
              </w:rPr>
            </w:pPr>
            <w:r>
              <w:rPr>
                <w:rFonts w:ascii="Times New Roman" w:cs="Times New Roman" w:eastAsia="Times New Roman" w:hAnsi="Times New Roman"/>
                <w:sz w:val="18"/>
                <w:szCs w:val="18"/>
                <w:color w:val="auto"/>
                <w:w w:val="99"/>
              </w:rPr>
              <w:t>153,544</w:t>
            </w:r>
          </w:p>
        </w:tc>
        <w:tc>
          <w:tcPr>
            <w:tcW w:w="1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134,697</w:t>
            </w:r>
          </w:p>
        </w:tc>
      </w:tr>
      <w:tr>
        <w:trPr>
          <w:trHeight w:val="216"/>
        </w:trPr>
        <w:tc>
          <w:tcPr>
            <w:tcW w:w="20" w:type="dxa"/>
            <w:vAlign w:val="bottom"/>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Fixed-price Contracts</w:t>
            </w:r>
          </w:p>
        </w:tc>
        <w:tc>
          <w:tcPr>
            <w:tcW w:w="1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478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Subtotal IT Staffing Services</w:t>
            </w:r>
          </w:p>
        </w:tc>
        <w:tc>
          <w:tcPr>
            <w:tcW w:w="16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6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w w:val="92"/>
              </w:rPr>
              <w:t>53,074</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5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w w:val="92"/>
              </w:rPr>
              <w:t>49,008</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u w:val="single" w:color="auto"/>
                <w:color w:val="auto"/>
                <w:w w:val="70"/>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153,544</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134,697</w:t>
            </w:r>
          </w:p>
        </w:tc>
        <w:tc>
          <w:tcPr>
            <w:tcW w:w="4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780" w:type="dxa"/>
            <w:vAlign w:val="bottom"/>
            <w:gridSpan w:val="3"/>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40" w:type="dxa"/>
            <w:vAlign w:val="bottom"/>
            <w:gridSpan w:val="2"/>
            <w:shd w:val="clear" w:color="auto" w:fill="CCEEFF"/>
          </w:tcPr>
          <w:p>
            <w:pPr>
              <w:jc w:val="right"/>
              <w:ind w:right="108"/>
              <w:spacing w:after="0"/>
              <w:rPr>
                <w:sz w:val="20"/>
                <w:szCs w:val="20"/>
                <w:color w:val="auto"/>
              </w:rPr>
            </w:pPr>
            <w:r>
              <w:rPr>
                <w:rFonts w:ascii="Times New Roman" w:cs="Times New Roman" w:eastAsia="Times New Roman" w:hAnsi="Times New Roman"/>
                <w:sz w:val="18"/>
                <w:szCs w:val="18"/>
                <w:b w:val="1"/>
                <w:bCs w:val="1"/>
                <w:color w:val="auto"/>
              </w:rPr>
              <w:t>63,150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59,531</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t>$</w:t>
            </w:r>
          </w:p>
        </w:tc>
        <w:tc>
          <w:tcPr>
            <w:tcW w:w="920" w:type="dxa"/>
            <w:vAlign w:val="bottom"/>
            <w:gridSpan w:val="2"/>
            <w:shd w:val="clear" w:color="auto" w:fill="CCEEFF"/>
          </w:tcPr>
          <w:p>
            <w:pPr>
              <w:jc w:val="right"/>
              <w:ind w:right="248"/>
              <w:spacing w:after="0"/>
              <w:rPr>
                <w:sz w:val="20"/>
                <w:szCs w:val="20"/>
                <w:color w:val="auto"/>
              </w:rPr>
            </w:pPr>
            <w:r>
              <w:rPr>
                <w:rFonts w:ascii="Times New Roman" w:cs="Times New Roman" w:eastAsia="Times New Roman" w:hAnsi="Times New Roman"/>
                <w:sz w:val="18"/>
                <w:szCs w:val="18"/>
                <w:b w:val="1"/>
                <w:bCs w:val="1"/>
                <w:color w:val="auto"/>
                <w:w w:val="99"/>
              </w:rPr>
              <w:t>185,022</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99"/>
              </w:rPr>
              <w:t>162,964</w:t>
            </w: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60" w:firstLine="440"/>
        <w:spacing w:after="0" w:line="261" w:lineRule="auto"/>
        <w:rPr>
          <w:sz w:val="20"/>
          <w:szCs w:val="20"/>
          <w:color w:val="auto"/>
        </w:rPr>
      </w:pPr>
      <w:r>
        <w:rPr>
          <w:rFonts w:ascii="Times New Roman" w:cs="Times New Roman" w:eastAsia="Times New Roman" w:hAnsi="Times New Roman"/>
          <w:sz w:val="18"/>
          <w:szCs w:val="18"/>
          <w:color w:val="auto"/>
        </w:rPr>
        <w:t>For the three months ended September 30, 2022, the Company had one client that exceeded 10% of total revenue (CGI = 23.7%). For the nine months ended September 30, 2022, the Company had one client that exceeded 10% of total revenue (CGI = 21.3%). For the three months ended September 30, 2021, the Company had two clients that exceeded 10% of total revenue (CGI = 14.6% and Accenture =10.4%). For the nine months ended September 30, 2021, the Company had one client that exceeded 10% of total revenue (CGI = 14.8%).</w:t>
      </w:r>
    </w:p>
    <w:p>
      <w:pPr>
        <w:spacing w:after="0" w:line="180"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The Company’s top ten clients represented approximately 54% and 49% of total revenues for the three months ended September 30, 2022 and 2021, respectively. For the nine months ended September 30, 2022 and 2021, the Company’s top ten clients represented approximately 53% and 48%, respectively. The following table presents our revenue from external customers disaggregated by geography, based on the work location of our customers:</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200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360" w:type="dxa"/>
            <w:vAlign w:val="bottom"/>
          </w:tcPr>
          <w:p>
            <w:pPr>
              <w:spacing w:after="0"/>
              <w:rPr>
                <w:sz w:val="15"/>
                <w:szCs w:val="15"/>
                <w:color w:val="auto"/>
              </w:rPr>
            </w:pPr>
          </w:p>
        </w:tc>
        <w:tc>
          <w:tcPr>
            <w:tcW w:w="200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636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155"/>
        </w:trPr>
        <w:tc>
          <w:tcPr>
            <w:tcW w:w="636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(Amounts</w:t>
            </w:r>
          </w:p>
        </w:tc>
        <w:tc>
          <w:tcPr>
            <w:tcW w:w="34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3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(Amounts</w:t>
            </w:r>
          </w:p>
        </w:tc>
        <w:tc>
          <w:tcPr>
            <w:tcW w:w="34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40" w:type="dxa"/>
            <w:vAlign w:val="bottom"/>
          </w:tcPr>
          <w:p>
            <w:pPr>
              <w:spacing w:after="0"/>
              <w:rPr>
                <w:sz w:val="13"/>
                <w:szCs w:val="13"/>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$ 61,704</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57,682</w:t>
            </w:r>
          </w:p>
        </w:tc>
        <w:tc>
          <w:tcPr>
            <w:tcW w:w="10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w w:val="97"/>
              </w:rPr>
              <w:t>$180,519</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$157,156</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988</w:t>
            </w:r>
          </w:p>
        </w:tc>
        <w:tc>
          <w:tcPr>
            <w:tcW w:w="10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3,187</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3,270</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 and Other</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861</w:t>
            </w:r>
          </w:p>
        </w:tc>
        <w:tc>
          <w:tcPr>
            <w:tcW w:w="10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1,316</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2,538</w:t>
            </w:r>
          </w:p>
        </w:tc>
      </w:tr>
      <w:tr>
        <w:trPr>
          <w:trHeight w:val="223"/>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$ 63,150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59,531</w:t>
            </w: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185,022</w:t>
            </w: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162,964</w:t>
            </w:r>
          </w:p>
        </w:tc>
        <w:tc>
          <w:tcPr>
            <w:tcW w:w="4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and Other Intangible Assets, net</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Goodwill related to our June 15, 2015 acquisition of Hudson Global Resources Management’s U.S. IT staffing business (“Hudson IT”) totaled $8.4 million. Goodwill related to our July 13, 2017 acquisition of the services division of InfoTrellis totaled $27.4 million. During 2018, the Company recorded a goodwill impairment related to the InfoTrellis acquisition of $9.7 million. Goodwill related to our October 1, 2020 acquisition of AmberLeaf totaled $6.4 million.</w:t>
      </w:r>
    </w:p>
    <w:p>
      <w:pPr>
        <w:spacing w:after="0" w:line="11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60"/>
          </w:cols>
          <w:pgMar w:left="320" w:top="482" w:right="5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 is amortizing the identifiable intangible assets on a straight-line basis over estimated average lives ranging from 3 to 12 years.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Identifiable intangible assets were comprised of the following as of September 30, 2022 and December 31, 2021:</w:t>
      </w:r>
    </w:p>
    <w:p>
      <w:pPr>
        <w:spacing w:after="0" w:line="227"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14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As of September 30, 2022</w:t>
            </w:r>
          </w:p>
        </w:tc>
        <w:tc>
          <w:tcPr>
            <w:tcW w:w="5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100" w:type="dxa"/>
            <w:vAlign w:val="bottom"/>
            <w:vMerge w:val="restart"/>
          </w:tcPr>
          <w:p>
            <w:pPr>
              <w:spacing w:after="0"/>
              <w:rPr>
                <w:sz w:val="10"/>
                <w:szCs w:val="10"/>
                <w:color w:val="auto"/>
              </w:rPr>
            </w:pPr>
          </w:p>
        </w:tc>
        <w:tc>
          <w:tcPr>
            <w:tcW w:w="164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158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4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Accumulative</w:t>
            </w:r>
          </w:p>
        </w:tc>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480" w:type="dxa"/>
            <w:vAlign w:val="bottom"/>
            <w:tcBorders>
              <w:bottom w:val="single" w:sz="8" w:color="auto"/>
            </w:tcBorders>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164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Period (In Years)</w:t>
            </w:r>
          </w:p>
        </w:tc>
        <w:tc>
          <w:tcPr>
            <w:tcW w:w="200" w:type="dxa"/>
            <w:vAlign w:val="bottom"/>
          </w:tcPr>
          <w:p>
            <w:pPr>
              <w:spacing w:after="0"/>
              <w:rPr>
                <w:sz w:val="15"/>
                <w:szCs w:val="15"/>
                <w:color w:val="auto"/>
              </w:rPr>
            </w:pPr>
          </w:p>
        </w:tc>
        <w:tc>
          <w:tcPr>
            <w:tcW w:w="13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14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70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9"/>
        </w:trPr>
        <w:tc>
          <w:tcPr>
            <w:tcW w:w="45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IT Staffing Services:</w:t>
            </w:r>
          </w:p>
        </w:tc>
        <w:tc>
          <w:tcPr>
            <w:tcW w:w="10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7,999</w:t>
            </w:r>
          </w:p>
        </w:tc>
        <w:tc>
          <w:tcPr>
            <w:tcW w:w="5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4,861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3,138</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19,641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7,731</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11,910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1,201</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967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1,467</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1,979</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1,120</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859</w:t>
            </w:r>
          </w:p>
        </w:tc>
        <w:tc>
          <w:tcPr>
            <w:tcW w:w="0" w:type="dxa"/>
            <w:vAlign w:val="bottom"/>
          </w:tcPr>
          <w:p>
            <w:pPr>
              <w:spacing w:after="0"/>
              <w:rPr>
                <w:sz w:val="1"/>
                <w:szCs w:val="1"/>
                <w:color w:val="auto"/>
              </w:rPr>
            </w:pPr>
          </w:p>
        </w:tc>
      </w:tr>
      <w:tr>
        <w:trPr>
          <w:trHeight w:val="223"/>
        </w:trPr>
        <w:tc>
          <w:tcPr>
            <w:tcW w:w="45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33,099</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16,714</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16,385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148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As of December 31, 2021</w:t>
            </w:r>
          </w:p>
        </w:tc>
        <w:tc>
          <w:tcPr>
            <w:tcW w:w="5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14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(Amounts in thousands)</w:t>
            </w:r>
          </w:p>
        </w:tc>
        <w:tc>
          <w:tcPr>
            <w:tcW w:w="3100" w:type="dxa"/>
            <w:vAlign w:val="bottom"/>
            <w:vMerge w:val="restart"/>
          </w:tcPr>
          <w:p>
            <w:pPr>
              <w:spacing w:after="0"/>
              <w:rPr>
                <w:sz w:val="10"/>
                <w:szCs w:val="10"/>
                <w:color w:val="auto"/>
              </w:rPr>
            </w:pPr>
          </w:p>
        </w:tc>
        <w:tc>
          <w:tcPr>
            <w:tcW w:w="1640" w:type="dxa"/>
            <w:vAlign w:val="bottom"/>
            <w:gridSpan w:val="2"/>
          </w:tcPr>
          <w:p>
            <w:pPr>
              <w:jc w:val="center"/>
              <w:ind w:right="580"/>
              <w:spacing w:after="0" w:line="118" w:lineRule="exact"/>
              <w:rPr>
                <w:sz w:val="20"/>
                <w:szCs w:val="20"/>
                <w:color w:val="auto"/>
              </w:rPr>
            </w:pPr>
            <w:r>
              <w:rPr>
                <w:rFonts w:ascii="Times New Roman" w:cs="Times New Roman" w:eastAsia="Times New Roman" w:hAnsi="Times New Roman"/>
                <w:sz w:val="13"/>
                <w:szCs w:val="13"/>
                <w:b w:val="1"/>
                <w:bCs w:val="1"/>
                <w:color w:val="auto"/>
              </w:rPr>
              <w:t>Amortization</w:t>
            </w:r>
          </w:p>
        </w:tc>
        <w:tc>
          <w:tcPr>
            <w:tcW w:w="1580" w:type="dxa"/>
            <w:vAlign w:val="bottom"/>
            <w:gridSpan w:val="4"/>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Gross Carrying</w:t>
            </w:r>
          </w:p>
        </w:tc>
        <w:tc>
          <w:tcPr>
            <w:tcW w:w="14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Accumulative</w:t>
            </w:r>
          </w:p>
        </w:tc>
        <w:tc>
          <w:tcPr>
            <w:tcW w:w="84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Net Carrying</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480" w:type="dxa"/>
            <w:vAlign w:val="bottom"/>
            <w:tcBorders>
              <w:bottom w:val="single" w:sz="8" w:color="auto"/>
            </w:tcBorders>
            <w:vMerge w:val="continue"/>
          </w:tcPr>
          <w:p>
            <w:pPr>
              <w:spacing w:after="0"/>
              <w:rPr>
                <w:sz w:val="15"/>
                <w:szCs w:val="15"/>
                <w:color w:val="auto"/>
              </w:rPr>
            </w:pPr>
          </w:p>
        </w:tc>
        <w:tc>
          <w:tcPr>
            <w:tcW w:w="3100" w:type="dxa"/>
            <w:vAlign w:val="bottom"/>
            <w:vMerge w:val="continue"/>
          </w:tcPr>
          <w:p>
            <w:pPr>
              <w:spacing w:after="0"/>
              <w:rPr>
                <w:sz w:val="15"/>
                <w:szCs w:val="15"/>
                <w:color w:val="auto"/>
              </w:rPr>
            </w:pPr>
          </w:p>
        </w:tc>
        <w:tc>
          <w:tcPr>
            <w:tcW w:w="1640" w:type="dxa"/>
            <w:vAlign w:val="bottom"/>
            <w:gridSpan w:val="2"/>
          </w:tcPr>
          <w:p>
            <w:pPr>
              <w:jc w:val="center"/>
              <w:ind w:right="60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Period (In Years)</w:t>
            </w:r>
          </w:p>
        </w:tc>
        <w:tc>
          <w:tcPr>
            <w:tcW w:w="200" w:type="dxa"/>
            <w:vAlign w:val="bottom"/>
          </w:tcPr>
          <w:p>
            <w:pPr>
              <w:spacing w:after="0"/>
              <w:rPr>
                <w:sz w:val="15"/>
                <w:szCs w:val="15"/>
                <w:color w:val="auto"/>
              </w:rPr>
            </w:pPr>
          </w:p>
        </w:tc>
        <w:tc>
          <w:tcPr>
            <w:tcW w:w="1380" w:type="dxa"/>
            <w:vAlign w:val="bottom"/>
            <w:gridSpan w:val="3"/>
          </w:tcPr>
          <w:p>
            <w:pPr>
              <w:ind w:left="12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144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80" w:type="dxa"/>
            <w:vAlign w:val="bottom"/>
          </w:tcPr>
          <w:p>
            <w:pPr>
              <w:spacing w:after="0"/>
              <w:rPr>
                <w:sz w:val="15"/>
                <w:szCs w:val="15"/>
                <w:color w:val="auto"/>
              </w:rPr>
            </w:pPr>
          </w:p>
        </w:tc>
        <w:tc>
          <w:tcPr>
            <w:tcW w:w="700" w:type="dxa"/>
            <w:vAlign w:val="bottom"/>
            <w:gridSpan w:val="2"/>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89"/>
        </w:trPr>
        <w:tc>
          <w:tcPr>
            <w:tcW w:w="4580" w:type="dxa"/>
            <w:vAlign w:val="bottom"/>
            <w:tcBorders>
              <w:top w:val="single" w:sz="8" w:color="CCEEFF"/>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IT Staffing Services:</w:t>
            </w:r>
          </w:p>
        </w:tc>
        <w:tc>
          <w:tcPr>
            <w:tcW w:w="106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7,999</w:t>
            </w:r>
          </w:p>
        </w:tc>
        <w:tc>
          <w:tcPr>
            <w:tcW w:w="58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4,361</w:t>
            </w: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3,638</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319</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319</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249</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249</w:t>
            </w:r>
          </w:p>
        </w:tc>
        <w:tc>
          <w:tcPr>
            <w:tcW w:w="180" w:type="dxa"/>
            <w:vAlign w:val="bottom"/>
          </w:tcPr>
          <w:p>
            <w:pPr>
              <w:spacing w:after="0"/>
              <w:rPr>
                <w:sz w:val="18"/>
                <w:szCs w:val="18"/>
                <w:color w:val="auto"/>
              </w:rPr>
            </w:pPr>
          </w:p>
        </w:tc>
        <w:tc>
          <w:tcPr>
            <w:tcW w:w="7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Data and Analytics Services:</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Client relationships</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12</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19,641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6,503</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13,138</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Covenant-not-to-compete</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1,201</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788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413</w:t>
            </w:r>
          </w:p>
        </w:tc>
        <w:tc>
          <w:tcPr>
            <w:tcW w:w="0" w:type="dxa"/>
            <w:vAlign w:val="bottom"/>
          </w:tcPr>
          <w:p>
            <w:pPr>
              <w:spacing w:after="0"/>
              <w:rPr>
                <w:sz w:val="1"/>
                <w:szCs w:val="1"/>
                <w:color w:val="auto"/>
              </w:rPr>
            </w:pPr>
          </w:p>
        </w:tc>
      </w:tr>
      <w:tr>
        <w:trPr>
          <w:trHeight w:val="216"/>
        </w:trPr>
        <w:tc>
          <w:tcPr>
            <w:tcW w:w="45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Trade name</w:t>
            </w: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1,711</w:t>
            </w: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1,211</w:t>
            </w: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Technology</w:t>
            </w:r>
          </w:p>
        </w:tc>
        <w:tc>
          <w:tcPr>
            <w:tcW w:w="1640" w:type="dxa"/>
            <w:vAlign w:val="bottom"/>
            <w:gridSpan w:val="2"/>
            <w:shd w:val="clear" w:color="auto" w:fill="CCEEFF"/>
          </w:tcPr>
          <w:p>
            <w:pPr>
              <w:jc w:val="right"/>
              <w:ind w:right="580"/>
              <w:spacing w:after="0"/>
              <w:rPr>
                <w:sz w:val="20"/>
                <w:szCs w:val="20"/>
                <w:color w:val="auto"/>
              </w:rPr>
            </w:pPr>
            <w:r>
              <w:rPr>
                <w:rFonts w:ascii="Times New Roman" w:cs="Times New Roman" w:eastAsia="Times New Roman" w:hAnsi="Times New Roman"/>
                <w:sz w:val="18"/>
                <w:szCs w:val="18"/>
                <w:color w:val="auto"/>
              </w:rPr>
              <w:t>7</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1,979</w:t>
            </w: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908</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223"/>
        </w:trPr>
        <w:tc>
          <w:tcPr>
            <w:tcW w:w="4580" w:type="dxa"/>
            <w:vAlign w:val="bottom"/>
            <w:gridSpan w:val="2"/>
          </w:tcPr>
          <w:p>
            <w:pPr>
              <w:ind w:left="600"/>
              <w:spacing w:after="0"/>
              <w:rPr>
                <w:sz w:val="20"/>
                <w:szCs w:val="20"/>
                <w:color w:val="auto"/>
              </w:rPr>
            </w:pPr>
            <w:r>
              <w:rPr>
                <w:rFonts w:ascii="Times New Roman" w:cs="Times New Roman" w:eastAsia="Times New Roman" w:hAnsi="Times New Roman"/>
                <w:sz w:val="18"/>
                <w:szCs w:val="18"/>
                <w:b w:val="1"/>
                <w:bCs w:val="1"/>
                <w:color w:val="auto"/>
              </w:rPr>
              <w:t>Total Intangible Assets</w:t>
            </w:r>
          </w:p>
        </w:tc>
        <w:tc>
          <w:tcPr>
            <w:tcW w:w="1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33,099</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14,339</w:t>
            </w:r>
          </w:p>
        </w:tc>
        <w:tc>
          <w:tcPr>
            <w:tcW w:w="6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18,760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8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460" w:firstLine="440"/>
        <w:spacing w:after="0" w:line="266" w:lineRule="auto"/>
        <w:rPr>
          <w:sz w:val="20"/>
          <w:szCs w:val="20"/>
          <w:color w:val="auto"/>
        </w:rPr>
      </w:pPr>
      <w:r>
        <w:rPr>
          <w:rFonts w:ascii="Times New Roman" w:cs="Times New Roman" w:eastAsia="Times New Roman" w:hAnsi="Times New Roman"/>
          <w:sz w:val="18"/>
          <w:szCs w:val="18"/>
          <w:color w:val="auto"/>
        </w:rPr>
        <w:t>Amortization expense for the three and nine month periods ended September 30, 2022 totaled $791,000 and $2.4 million, respectively and is included in selling, general and administrative expenses in the Consolidated Statement of Operations. For the three and nine month periods ended September 30, 2021, amortization expense was $792,000 and $2.4 million, respectively.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estimated aggregate amortization expense for intangible assets for the years ending December 31, 2022 through 2026 is as follows: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47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Years Ended December 31,</w:t>
            </w:r>
          </w:p>
        </w:tc>
        <w:tc>
          <w:tcPr>
            <w:tcW w:w="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142"/>
        </w:trPr>
        <w:tc>
          <w:tcPr>
            <w:tcW w:w="47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5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ind w:right="4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500" w:type="dxa"/>
            <w:vAlign w:val="bottom"/>
            <w:tcBorders>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Pr>
          <w:p>
            <w:pPr>
              <w:spacing w:after="0"/>
              <w:rPr>
                <w:sz w:val="12"/>
                <w:szCs w:val="12"/>
                <w:color w:val="auto"/>
              </w:rPr>
            </w:pPr>
          </w:p>
        </w:tc>
      </w:tr>
      <w:tr>
        <w:trPr>
          <w:trHeight w:val="155"/>
        </w:trPr>
        <w:tc>
          <w:tcPr>
            <w:tcW w:w="47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20" w:type="dxa"/>
            <w:vAlign w:val="bottom"/>
            <w:gridSpan w:val="6"/>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(Amounts in thousands)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16"/>
        </w:trPr>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expense</w:t>
            </w:r>
          </w:p>
        </w:tc>
        <w:tc>
          <w:tcPr>
            <w:tcW w:w="3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$2,987</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$2,772</w:t>
            </w:r>
          </w:p>
        </w:tc>
        <w:tc>
          <w:tcPr>
            <w:tcW w:w="7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$2,693</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w w:val="96"/>
              </w:rPr>
              <w:t>$2,553</w:t>
            </w:r>
          </w:p>
        </w:tc>
        <w:tc>
          <w:tcPr>
            <w:tcW w:w="6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$2,413</w:t>
            </w:r>
          </w:p>
        </w:tc>
      </w:tr>
    </w:tbl>
    <w:p>
      <w:pPr>
        <w:spacing w:after="0" w:line="342" w:lineRule="exact"/>
        <w:rPr>
          <w:sz w:val="20"/>
          <w:szCs w:val="20"/>
          <w:color w:val="auto"/>
        </w:rPr>
      </w:pPr>
    </w:p>
    <w:p>
      <w:pPr>
        <w:ind w:left="540" w:hanging="424"/>
        <w:spacing w:after="0"/>
        <w:tabs>
          <w:tab w:leader="none" w:pos="5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The Company rents certain office facilities and equipment under noncancelable operating leases. As of September 30, 2022, approximately 96,000 square feet of office space is utilized for our sales and recruiting offices, delivery centers, and corporate headquarters. All of our leases are classified as operating leases. The average initial lease term is five years. Several leases have an option to renew, at our sole discretion, for an additional term. Our present lease terms range from 1.3 years to 4.5 years with a weighted average of 3.5 years. Leases with an initial term of twelve months or less are not recorded on the balance sheet.</w:t>
      </w:r>
    </w:p>
    <w:p>
      <w:pPr>
        <w:spacing w:after="0" w:line="11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40"/>
          </w:cols>
          <w:pgMar w:left="320" w:top="482"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following table summarizes the balance sheet classification of the lease assets and related lease liabilities:</w:t>
      </w:r>
    </w:p>
    <w:p>
      <w:pPr>
        <w:spacing w:after="0" w:line="246"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740" w:type="dxa"/>
            <w:vAlign w:val="bottom"/>
            <w:gridSpan w:val="2"/>
          </w:tcPr>
          <w:p>
            <w:pPr>
              <w:spacing w:after="0"/>
              <w:rPr>
                <w:sz w:val="15"/>
                <w:szCs w:val="15"/>
                <w:color w:val="auto"/>
              </w:rPr>
            </w:pPr>
          </w:p>
        </w:tc>
        <w:tc>
          <w:tcPr>
            <w:tcW w:w="1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40" w:type="dxa"/>
            <w:vAlign w:val="bottom"/>
          </w:tcPr>
          <w:p>
            <w:pPr>
              <w:spacing w:after="0"/>
              <w:rPr>
                <w:sz w:val="15"/>
                <w:szCs w:val="15"/>
                <w:color w:val="auto"/>
              </w:rPr>
            </w:pPr>
          </w:p>
        </w:tc>
      </w:tr>
      <w:tr>
        <w:trPr>
          <w:trHeight w:val="156"/>
        </w:trPr>
        <w:tc>
          <w:tcPr>
            <w:tcW w:w="5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gridSpan w:val="3"/>
          </w:tcPr>
          <w:p>
            <w:pPr>
              <w:ind w:left="660"/>
              <w:spacing w:after="0" w:line="155"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216"/>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operating lease right-of-use assets</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4,263</w:t>
            </w:r>
          </w:p>
        </w:tc>
        <w:tc>
          <w:tcPr>
            <w:tcW w:w="7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4,894</w:t>
            </w:r>
          </w:p>
        </w:tc>
      </w:tr>
      <w:tr>
        <w:trPr>
          <w:trHeight w:val="20"/>
        </w:trPr>
        <w:tc>
          <w:tcPr>
            <w:tcW w:w="52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52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Short-term operating lease liability</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w:t>
            </w:r>
          </w:p>
        </w:tc>
        <w:tc>
          <w:tcPr>
            <w:tcW w:w="72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1,479</w:t>
            </w:r>
          </w:p>
        </w:tc>
      </w:tr>
      <w:tr>
        <w:trPr>
          <w:trHeight w:val="216"/>
        </w:trPr>
        <w:tc>
          <w:tcPr>
            <w:tcW w:w="52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4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2,699</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3,706</w:t>
            </w:r>
          </w:p>
        </w:tc>
      </w:tr>
      <w:tr>
        <w:trPr>
          <w:trHeight w:val="223"/>
        </w:trPr>
        <w:tc>
          <w:tcPr>
            <w:tcW w:w="52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4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20" w:type="dxa"/>
            <w:vAlign w:val="bottom"/>
            <w:tcBorders>
              <w:bottom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5,185</w:t>
            </w:r>
          </w:p>
        </w:tc>
        <w:tc>
          <w:tcPr>
            <w:tcW w:w="40" w:type="dxa"/>
            <w:vAlign w:val="bottom"/>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Future minimum rental payments for office facilities and equipment under the Company’s noncancelable operating leases are as follows:</w:t>
      </w:r>
    </w:p>
    <w:p>
      <w:pPr>
        <w:spacing w:after="0" w:line="233"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Amount as of</w:t>
            </w:r>
          </w:p>
        </w:tc>
      </w:tr>
      <w:tr>
        <w:trPr>
          <w:trHeight w:val="173"/>
        </w:trPr>
        <w:tc>
          <w:tcPr>
            <w:tcW w:w="2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142"/>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(For remainder of year)</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1,633</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949</w:t>
            </w: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665</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4,495</w:t>
            </w:r>
          </w:p>
        </w:tc>
      </w:tr>
      <w:tr>
        <w:trPr>
          <w:trHeight w:val="223"/>
        </w:trPr>
        <w:tc>
          <w:tcPr>
            <w:tcW w:w="20" w:type="dxa"/>
            <w:vAlign w:val="bottom"/>
          </w:tcPr>
          <w:p>
            <w:pPr>
              <w:spacing w:after="0"/>
              <w:rPr>
                <w:sz w:val="19"/>
                <w:szCs w:val="19"/>
                <w:color w:val="auto"/>
              </w:rPr>
            </w:pPr>
          </w:p>
        </w:tc>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 w:type="dxa"/>
            <w:vAlign w:val="bottom"/>
          </w:tcPr>
          <w:p>
            <w:pPr>
              <w:spacing w:after="0"/>
              <w:rPr>
                <w:sz w:val="19"/>
                <w:szCs w:val="19"/>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20" w:type="dxa"/>
            <w:vAlign w:val="bottom"/>
          </w:tcPr>
          <w:p>
            <w:pPr>
              <w:spacing w:after="0"/>
              <w:rPr>
                <w:sz w:val="18"/>
                <w:szCs w:val="18"/>
                <w:color w:val="auto"/>
              </w:rPr>
            </w:pPr>
          </w:p>
        </w:tc>
        <w:tc>
          <w:tcPr>
            <w:tcW w:w="6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weighted average discount rate used to calculate the present value of future lease payments was 4.0%.</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We recognize rent expense for these leases on a straight-line basis over the lease term. Rental expense for the three and nine months ended September 30, 2022 totaled $0.4 million and $1.3 million, respectively. Rental expense for the three and nine months ended September 30, 2021 totaled $0.4 million and $1.3 million, respectively.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Total cash paid for lease liabilities for the three and nine months ended September 30, 2022 totaled $0.4 million and $1.3 million, respectively.</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cash paid for lease liabilities for the three and nine months ended September 30, 2021 totaled $0.4 million and $1.1 million, respectively.</w:t>
      </w:r>
    </w:p>
    <w:p>
      <w:pPr>
        <w:spacing w:after="0" w:line="207"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New leases entered into during the three and nine months ended September 30, 2022 totaled $0 million and $0.5 million, respectively. New leases entered into during the three and nine months ended September 30, 2021 totaled $0 million and $3.1 million, respectively. New leases are considered non cash transactions.</w:t>
      </w:r>
    </w:p>
    <w:p>
      <w:pPr>
        <w:spacing w:after="0" w:line="320" w:lineRule="exact"/>
        <w:rPr>
          <w:sz w:val="20"/>
          <w:szCs w:val="20"/>
          <w:color w:val="auto"/>
        </w:rPr>
      </w:pPr>
    </w:p>
    <w:p>
      <w:pPr>
        <w:ind w:left="540" w:hanging="424"/>
        <w:spacing w:after="0"/>
        <w:tabs>
          <w:tab w:leader="none" w:pos="5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Payroll Tax Liability</w:t>
      </w:r>
    </w:p>
    <w:p>
      <w:pPr>
        <w:spacing w:after="0" w:line="121"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As allowed under the Coronavirus Aid, Relief and Economic Security (CARES) Act, the Company elected to defer payment of the employer’s share of social security tax. As of September 30, 2022, and December 31, 2021, the balance of this liability is $2.3 million and $2.3 million, respectively. The Company is required to repay the $2.3 million by December 31, 2022, which is reflected as part of current liabilities under the caption accrued payroll and related costs.</w:t>
      </w:r>
    </w:p>
    <w:p>
      <w:pPr>
        <w:spacing w:after="0" w:line="324" w:lineRule="exact"/>
        <w:rPr>
          <w:sz w:val="20"/>
          <w:szCs w:val="20"/>
          <w:color w:val="auto"/>
        </w:rPr>
      </w:pPr>
    </w:p>
    <w:p>
      <w:pPr>
        <w:ind w:left="540" w:hanging="424"/>
        <w:spacing w:after="0"/>
        <w:tabs>
          <w:tab w:leader="none" w:pos="5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121" w:lineRule="exact"/>
        <w:rPr>
          <w:sz w:val="20"/>
          <w:szCs w:val="20"/>
          <w:color w:val="auto"/>
        </w:rPr>
      </w:pPr>
    </w:p>
    <w:p>
      <w:pPr>
        <w:jc w:val="both"/>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the Company is involved in several lawsuits. While uncertainties are inherent in the final outcome of these matters, the Company’s management believes, after consultation with legal counsel, that the disposition of these proceedings should not have a material adverse effect on our financial position, results of operations or cash flows.</w:t>
      </w:r>
    </w:p>
    <w:p>
      <w:pPr>
        <w:spacing w:after="0" w:line="320" w:lineRule="exact"/>
        <w:rPr>
          <w:sz w:val="20"/>
          <w:szCs w:val="20"/>
          <w:color w:val="auto"/>
        </w:rPr>
      </w:pPr>
    </w:p>
    <w:p>
      <w:pPr>
        <w:ind w:left="540" w:hanging="424"/>
        <w:spacing w:after="0"/>
        <w:tabs>
          <w:tab w:leader="none" w:pos="5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Benefit Plan</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Company provides an Employee Retirement Savings Plan (the “Retirement Plan”) under Section 401(k) of the Internal Revenue Code of 1986, as amended (the “Code”), that covers substantially all U.S. based salaried and W-2 hourly employees. Employees may contribute a percentage of eligible compensation to the Retirement Plan, subject to certain limits under the Code. The Company did not provide for any matching contributions for the three and nine month periods ended September 30, 2022 and 2021.</w:t>
      </w:r>
    </w:p>
    <w:p>
      <w:pPr>
        <w:sectPr>
          <w:pgSz w:w="11900" w:h="16838" w:orient="portrait"/>
          <w:cols w:equalWidth="0" w:num="1">
            <w:col w:w="11060"/>
          </w:cols>
          <w:pgMar w:left="320" w:top="482" w:right="519" w:bottom="1440" w:gutter="0" w:footer="0" w:header="0"/>
        </w:sectPr>
      </w:pPr>
    </w:p>
    <w:p>
      <w:pPr>
        <w:spacing w:after="0" w:line="112"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60"/>
          </w:cols>
          <w:pgMar w:left="320" w:top="482" w:right="51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120" w:right="140" w:firstLine="440"/>
        <w:spacing w:after="0" w:line="258" w:lineRule="auto"/>
        <w:rPr>
          <w:sz w:val="20"/>
          <w:szCs w:val="20"/>
          <w:color w:val="auto"/>
        </w:rPr>
      </w:pPr>
      <w:r>
        <w:rPr>
          <w:rFonts w:ascii="Times New Roman" w:cs="Times New Roman" w:eastAsia="Times New Roman" w:hAnsi="Times New Roman"/>
          <w:sz w:val="18"/>
          <w:szCs w:val="18"/>
          <w:color w:val="auto"/>
        </w:rPr>
        <w:t>In 2008, the Company adopted a Stock Incentive Plan (the “Plan”) which, as amended, provides that up to 4,900,000 shares of the Company’s Common Stock shall be allocated for issuance to directors, officers and key personnel. Grants under the Plan can be made in the form of stock options, stock appreciation rights, performance shares or stock awards. During the three months ended September 30, 2022, the Company granted no restricted share units and 250,000 stock options under the Plan. During the three months ended September 30, 2021, the Company granted no shares under the Plan.</w:t>
      </w:r>
    </w:p>
    <w:p>
      <w:pPr>
        <w:spacing w:after="0" w:line="183"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2022, the Company granted restricted share units of 13,979 and 650,000 stock options at a weighted average strike price of $17.00. During the nine months ended September 30, 2021, the Company granted restricted share units of 11,955 and 270,000 stock option grants at a weighted average strike price of $17.65. As of September 30, 2022 and December 31, 2021, there were 159,842 shares and 538,000 shares, respectively, available for grants under the Plan.</w:t>
      </w:r>
    </w:p>
    <w:p>
      <w:pPr>
        <w:spacing w:after="0" w:line="180"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the three months ended September 30, 2022 and 2021 was $776,000 and $693,000, respectively, and for the nine months ended September 30, 2022 and 2021 was $2.1 million and $2.1 million. Stock-based compensation expense is included in selling, general and administrative expenses in the Condensed Consolidated Statements of Operations.</w:t>
      </w:r>
    </w:p>
    <w:p>
      <w:pPr>
        <w:spacing w:after="0" w:line="176"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issued 0 and 133,932 shares, respectively, related to the grant of restricted share units and the exercise of stock options. During the three and nine months ended September 30, 2021, the Company issued 0 and 30,239 shares, respectively, related to the vesting of restricted shares and the exercising of stock options.</w:t>
      </w:r>
    </w:p>
    <w:p>
      <w:pPr>
        <w:spacing w:after="0" w:line="176"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In October 2018, the Board of Directors of the Company approved the Mastech Digital, Inc. 2019 Employee Stock Purchase Plan (the “Employee Stock Purchase Plan”). The Employee Stock Purchase Plan is intended to meet the requirements of Section 423 of the Code and was approved by the Company’s shareholders to be qualified. On May 15, 2019, the Company’s shareholders approved the Employee Stock Purchase Plan. Under the Employee Stock Purchase Plan, 600,000 shares of Common Stock (subject to adjustment upon certain changes in the Company’s capitalization) are available for purchase by eligible employees who become participants in the Employee Stock Purchase Plan. The purchase price per share is 85% of the lesser of (i) the fair market value per share of Common Stock on the first day of the offering period, or (ii) the fair market value per share of Common Stock on the last day of the offering period.</w:t>
      </w:r>
    </w:p>
    <w:p>
      <w:pPr>
        <w:spacing w:after="0" w:line="189"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The Company’s eligible full-time employees are able to contribute up to 15% of their base compensation into the Employee Stock Purchase Plan, subject to an annual limit of $25,000 per person. Employees are able to purchase Company Common Stock at a 15% discount to the lower of the fair market value of the Company’s Common Stock on the initial or final trading dates of each six-month offering period. Offering periods begin on January 1 and July 1 of each year. The Company uses the Black-Scholes option pricing model to determine the fair value of Employee Stock Purchase Plan share-based payments. The fair value of the six-month “look-back” option in the Company’s Employee Stock Purchase Plan is estimated by adding the fair value of 15% of one share of stock to 85% of the fair value of an option on one share of stock. The Company utilized U.S. Treasury yields as of the grant date for its risk-free interest rate assumption, matching the Treasury yield terms to the six-month offering period. The Company utilized historical company data to develop its dividend yield and expected volatility assumptions.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During the three months ended September 30, 2022 and 2021, there were no shares issued under the Stock Purchase Plan. During the nine months ended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September 30, 2022 and 2021, there were 15,765 shares and 14,301 shares issued under the Stock Purchase Plan at a share price of $12.63 and $12.71,</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respectively. Stock-based compensation expense related to the Stock Purchase Plan for the three months ended September 30, 2022 and 2021 totaled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$11,000 and $25,000, respectively. Stock-based compensation expense related to the Stock Purchase Plan for the nine months ended September 30, 2022</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 2021 totaled $81,000 and $106,000, respectively and is included in selling, general and administrative expenses in the Condensed Consolidated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Statements of Operations for the nine months ended September 30, 2022 and 2021. At September 30, 2022, there were 500,589 shares available for</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purchases under the Employee Stock Purchase Plan.</w:t>
      </w:r>
    </w:p>
    <w:p>
      <w:pPr>
        <w:spacing w:after="0" w:line="351" w:lineRule="exact"/>
        <w:rPr>
          <w:sz w:val="20"/>
          <w:szCs w:val="20"/>
          <w:color w:val="auto"/>
        </w:rPr>
      </w:pPr>
    </w:p>
    <w:p>
      <w:pPr>
        <w:ind w:left="540" w:hanging="424"/>
        <w:spacing w:after="0"/>
        <w:tabs>
          <w:tab w:leader="none" w:pos="5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w:t>
      </w:r>
    </w:p>
    <w:p>
      <w:pPr>
        <w:spacing w:after="0" w:line="121" w:lineRule="exact"/>
        <w:rPr>
          <w:sz w:val="20"/>
          <w:szCs w:val="20"/>
          <w:color w:val="auto"/>
        </w:rPr>
      </w:pPr>
    </w:p>
    <w:p>
      <w:pPr>
        <w:ind w:left="120" w:right="100" w:firstLine="440"/>
        <w:spacing w:after="0" w:line="255" w:lineRule="auto"/>
        <w:rPr>
          <w:sz w:val="20"/>
          <w:szCs w:val="20"/>
          <w:color w:val="auto"/>
        </w:rPr>
      </w:pPr>
      <w:r>
        <w:rPr>
          <w:rFonts w:ascii="Times New Roman" w:cs="Times New Roman" w:eastAsia="Times New Roman" w:hAnsi="Times New Roman"/>
          <w:sz w:val="18"/>
          <w:szCs w:val="18"/>
          <w:color w:val="auto"/>
        </w:rPr>
        <w:t>On July 13, 2017, the Company entered into a Credit Agreement (the “Credit Agreement”) with PNC Bank, as administrative agent, swing loan lender and issuing lender, PNC Capital Markets LLC, as sole lead arranger and sole book-runner, and certain financial institution parties thereto as lenders (the “Lenders”). The Credit Agreement, as amended, provides for a total aggregate commitment of $53.1 million, consisting of (i) a revolving credit facility (the “Revolver”) in an aggregate principal amount not to exceed $40 million and; (ii) a $13.1 million term loan facility (the “Term Loan), as more fully described in Exhibit 10.1 to the Company’s Form 8-Ks filed with the SEC on July 19, 2017, April 25, 2018 and October 7, 2020, and Exhibit 10.2 to the Form 8-K/A filed with the SEC on January 4, 2022. Additionally, the facility includes an accordion feature for additional borrowing of up to $20 million upon satisfaction of certain conditions.</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firstLine="440"/>
        <w:spacing w:after="0" w:line="270" w:lineRule="auto"/>
        <w:rPr>
          <w:sz w:val="20"/>
          <w:szCs w:val="20"/>
          <w:color w:val="auto"/>
        </w:rPr>
      </w:pPr>
      <w:r>
        <w:rPr>
          <w:rFonts w:ascii="Times New Roman" w:cs="Times New Roman" w:eastAsia="Times New Roman" w:hAnsi="Times New Roman"/>
          <w:sz w:val="17"/>
          <w:szCs w:val="17"/>
          <w:color w:val="auto"/>
        </w:rPr>
        <w:t>The Revolver expires in December 2026 and includes swing loan and letter of credit sub-limits in the aggregate amount not to exceed $6.0 million for swing loans and $5.0 million for letters of credit. Borrowings under the Revolver may be denominated in U.S. dollars or Canadian dollars. The maximum borrowings in U.S. dollars may not exceed the sum of 85% of eligible U.S. accounts receivable and 60% of eligible U.S. unbilled receivables, less a reserve amount established by the administrative agent. The maximum borrowings in Canadian dollars may not exceed the lesser of (i)</w:t>
      </w:r>
    </w:p>
    <w:p>
      <w:pPr>
        <w:spacing w:after="0" w:line="3" w:lineRule="exact"/>
        <w:rPr>
          <w:sz w:val="20"/>
          <w:szCs w:val="20"/>
          <w:color w:val="auto"/>
        </w:rPr>
      </w:pPr>
    </w:p>
    <w:p>
      <w:pPr>
        <w:ind w:left="120" w:right="460"/>
        <w:spacing w:after="0" w:line="260" w:lineRule="auto"/>
        <w:rPr>
          <w:sz w:val="20"/>
          <w:szCs w:val="20"/>
          <w:color w:val="auto"/>
        </w:rPr>
      </w:pPr>
      <w:r>
        <w:rPr>
          <w:rFonts w:ascii="Times New Roman" w:cs="Times New Roman" w:eastAsia="Times New Roman" w:hAnsi="Times New Roman"/>
          <w:sz w:val="18"/>
          <w:szCs w:val="18"/>
          <w:color w:val="auto"/>
        </w:rPr>
        <w:t>$10.0 million; and (ii) the sum of 85% of eligible Canadian receivables, plus 60% of eligible Canadian unbilled receivables, less a reserve amount established by the administrative agent.</w:t>
      </w:r>
    </w:p>
    <w:p>
      <w:pPr>
        <w:spacing w:after="0" w:line="18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Amounts borrowed under the Term Loan are required to be repaid in consecutive quarterly installments through and including the maturity date of October 1, 2024. The principal amount of each quarterly installment payable on the Term Loan equals $1.1 million through and including the maturity date, with the maturity date payment equal to the outstanding amount of the loan on that date.</w:t>
      </w:r>
    </w:p>
    <w:p>
      <w:pPr>
        <w:spacing w:after="0" w:line="176"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Borrowings under the revolver and the term loan, at the Company’s election, bear interest at either (a) the higher of PNC’s prime rate or the federal funds rate plus 0.50%, plus an applicable margin determined based upon the Company’s senior leverage ratio or (b) the Bloomberg Short-Term Bank Yield Index (“BSBY”), plus an applicable margin determined based upon the Company’s senior leverage ratio. The applicable margin on the base rate is between 0.50% and 1.25% on revolver borrowings and between 1.75% and 2.50% on term loans. The applicable margin on the BSBY is between 1.50% and 2.25% on revolver borrowings and between 2.75% and 3.50% on term loans. A 20 to 30-basis point per annum commitment fee on the unused portion of the revolver facility is charged and due monthly in arrears. The applicable commitment fee is determined based upon the Company’s senior leverage ratio.</w:t>
      </w:r>
    </w:p>
    <w:p>
      <w:pPr>
        <w:spacing w:after="0" w:line="189" w:lineRule="exact"/>
        <w:rPr>
          <w:sz w:val="20"/>
          <w:szCs w:val="20"/>
          <w:color w:val="auto"/>
        </w:rPr>
      </w:pPr>
    </w:p>
    <w:p>
      <w:pPr>
        <w:ind w:left="120" w:right="320" w:firstLine="440"/>
        <w:spacing w:after="0" w:line="261" w:lineRule="auto"/>
        <w:rPr>
          <w:sz w:val="20"/>
          <w:szCs w:val="20"/>
          <w:color w:val="auto"/>
        </w:rPr>
      </w:pPr>
      <w:r>
        <w:rPr>
          <w:rFonts w:ascii="Times New Roman" w:cs="Times New Roman" w:eastAsia="Times New Roman" w:hAnsi="Times New Roman"/>
          <w:sz w:val="18"/>
          <w:szCs w:val="18"/>
          <w:color w:val="auto"/>
        </w:rPr>
        <w:t>The Company pledged substantially all of its assets in support of the Credit Agreement. The Credit Agreement contains standard financial covenants, including, but not limited to, covenants related to the Company’s senior leverage ratio and fixed charge ratio (as defined under the Credit Agreement) and limitations on liens, indebtedness, guarantees, contingent liabilities, loans and investments, distributions, leases, asset sales, stock repurchases and mergers and acquisitions. As of September 30, 2022, the Company was in compliance with all provisions under the facility.</w:t>
      </w:r>
    </w:p>
    <w:p>
      <w:pPr>
        <w:spacing w:after="0" w:line="180" w:lineRule="exact"/>
        <w:rPr>
          <w:sz w:val="20"/>
          <w:szCs w:val="20"/>
          <w:color w:val="auto"/>
        </w:rPr>
      </w:pPr>
    </w:p>
    <w:p>
      <w:pPr>
        <w:ind w:left="120" w:right="40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securing the commitments under the Credit Agreement and the April 20, 2018, October 1, 2020, and December 29, 2021 amendments to the Credit Agreement, the Company paid a commitment fee and incurred deferred financing costs totaling $975,000, which were capitalized and are being amortized as interest expense over the life of the facility. Deferred financing costs of $311,000 (net of amortization) as of September 30, 2022 are presented as a long-term asset in the Company’s Consolidated Balance Sheet. Deferred financing costs of $366,000 (net of amortization) as of December 31, 2021 are presented as reductions in long-term debt in the Company’s Consolidated Balance Sheet.</w:t>
      </w:r>
    </w:p>
    <w:p>
      <w:pPr>
        <w:spacing w:after="0" w:line="75"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had no outstanding borrowings under the Revolver at September 30, 2022 and December 31, 2021; and unused borrowing capacity available was approximately $36.4 million and $32.4 million, respectively. The Company’s outstanding borrowings under the term loan were</w:t>
      </w:r>
    </w:p>
    <w:p>
      <w:pPr>
        <w:ind w:left="120" w:right="120"/>
        <w:spacing w:after="0" w:line="253" w:lineRule="auto"/>
        <w:rPr>
          <w:sz w:val="20"/>
          <w:szCs w:val="20"/>
          <w:color w:val="auto"/>
        </w:rPr>
      </w:pPr>
      <w:r>
        <w:rPr>
          <w:rFonts w:ascii="Times New Roman" w:cs="Times New Roman" w:eastAsia="Times New Roman" w:hAnsi="Times New Roman"/>
          <w:sz w:val="18"/>
          <w:szCs w:val="18"/>
          <w:color w:val="auto"/>
        </w:rPr>
        <w:t>$2.2 million and $13.1 million as of September 30, 2022 and December 31, 2021, respectively. Additionally, under the Term Loan agreement there is a mandatory repayment requirement related to excess cash flows (as defined in the Credit Agreement) generated in a given fiscal year. This provision takes effect in first quarter of 2023 should the Company senior leverage ratio exceeds 1.50x. In August 2022, the Company prepaid $7.6 million of the outstanding term loan with excess cash balances.</w:t>
      </w:r>
    </w:p>
    <w:p>
      <w:pPr>
        <w:spacing w:after="0" w:line="333" w:lineRule="exact"/>
        <w:rPr>
          <w:sz w:val="20"/>
          <w:szCs w:val="20"/>
          <w:color w:val="auto"/>
        </w:rPr>
      </w:pPr>
    </w:p>
    <w:p>
      <w:pPr>
        <w:ind w:left="540" w:hanging="424"/>
        <w:spacing w:after="0"/>
        <w:tabs>
          <w:tab w:leader="none" w:pos="5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The components of income before income taxes, as shown in the accompanying Financial Statements, consisted of the following for the three and nine months ended September 30, 2022 and 2021:</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38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8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386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80" w:type="dxa"/>
            <w:vAlign w:val="bottom"/>
            <w:gridSpan w:val="5"/>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jc w:val="right"/>
              <w:ind w:right="5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2"/>
                <w:szCs w:val="12"/>
                <w:color w:val="auto"/>
              </w:rPr>
            </w:pPr>
          </w:p>
        </w:tc>
        <w:tc>
          <w:tcPr>
            <w:tcW w:w="620" w:type="dxa"/>
            <w:vAlign w:val="bottom"/>
            <w:tcBorders>
              <w:top w:val="single" w:sz="8" w:color="auto"/>
            </w:tcBorders>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9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8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58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4"/>
              </w:rPr>
              <w:t>(Amounts</w:t>
            </w:r>
          </w:p>
        </w:tc>
        <w:tc>
          <w:tcPr>
            <w:tcW w:w="34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tcBorders>
              <w:top w:val="single" w:sz="8" w:color="auto"/>
            </w:tcBorders>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340" w:type="dxa"/>
            <w:vAlign w:val="bottom"/>
          </w:tcPr>
          <w:p>
            <w:pPr>
              <w:spacing w:after="0"/>
              <w:rPr>
                <w:sz w:val="13"/>
                <w:szCs w:val="13"/>
                <w:color w:val="auto"/>
              </w:rPr>
            </w:pPr>
          </w:p>
        </w:tc>
        <w:tc>
          <w:tcPr>
            <w:tcW w:w="6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(Amounts</w:t>
            </w:r>
          </w:p>
        </w:tc>
        <w:tc>
          <w:tcPr>
            <w:tcW w:w="32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Domestic</w:t>
            </w:r>
          </w:p>
        </w:tc>
        <w:tc>
          <w:tcPr>
            <w:tcW w:w="2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3,950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4,644</w:t>
            </w:r>
          </w:p>
        </w:tc>
        <w:tc>
          <w:tcPr>
            <w:tcW w:w="8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w w:val="95"/>
              </w:rPr>
              <w:t>$ 11,123</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$ 12,091</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w:t>
            </w:r>
          </w:p>
        </w:tc>
        <w:tc>
          <w:tcPr>
            <w:tcW w:w="2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8"/>
                <w:szCs w:val="18"/>
                <w:color w:val="auto"/>
              </w:rPr>
              <w:t>(593)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96</w:t>
            </w:r>
          </w:p>
        </w:tc>
        <w:tc>
          <w:tcPr>
            <w:tcW w:w="8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(903)</w:t>
            </w:r>
          </w:p>
        </w:tc>
        <w:tc>
          <w:tcPr>
            <w:tcW w:w="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(547)</w:t>
            </w:r>
          </w:p>
        </w:tc>
        <w:tc>
          <w:tcPr>
            <w:tcW w:w="0" w:type="dxa"/>
            <w:vAlign w:val="bottom"/>
          </w:tcPr>
          <w:p>
            <w:pPr>
              <w:spacing w:after="0"/>
              <w:rPr>
                <w:sz w:val="1"/>
                <w:szCs w:val="1"/>
                <w:color w:val="auto"/>
              </w:rPr>
            </w:pPr>
          </w:p>
        </w:tc>
      </w:tr>
      <w:tr>
        <w:trPr>
          <w:trHeight w:val="223"/>
        </w:trPr>
        <w:tc>
          <w:tcPr>
            <w:tcW w:w="38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340" w:type="dxa"/>
            <w:vAlign w:val="bottom"/>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$ 10,220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$ 11,544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2680" w:type="dxa"/>
            <w:vAlign w:val="bottom"/>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6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The Company has subsidiaries organized in jurisdictions outside the United States, which generate revenues from non-U.S.-based clients. Additionally, these subsidiaries provide services to the Company’s U.S. parents. Accordingly, the Company allocates a portion of its income to these subsidiaries based on a “transfer pricing” model and reports such income as foreign in the above table.</w:t>
      </w:r>
    </w:p>
    <w:p>
      <w:pPr>
        <w:spacing w:after="0" w:line="176"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The provision for income taxes, as shown in the accompanying Financial Statements, consisted of the following for the three and nine months ended September 30, 2022 and 2021:</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00" w:type="dxa"/>
            <w:vAlign w:val="bottom"/>
            <w:gridSpan w:val="7"/>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162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7"/>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5"/>
                <w:szCs w:val="15"/>
                <w:color w:val="auto"/>
              </w:rPr>
            </w:pPr>
          </w:p>
        </w:tc>
        <w:tc>
          <w:tcPr>
            <w:tcW w:w="1620" w:type="dxa"/>
            <w:vAlign w:val="bottom"/>
            <w:gridSpan w:val="5"/>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6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r>
      <w:tr>
        <w:trPr>
          <w:trHeight w:val="155"/>
        </w:trPr>
        <w:tc>
          <w:tcPr>
            <w:tcW w:w="20" w:type="dxa"/>
            <w:vAlign w:val="bottom"/>
          </w:tcPr>
          <w:p>
            <w:pPr>
              <w:spacing w:after="0"/>
              <w:rPr>
                <w:sz w:val="13"/>
                <w:szCs w:val="13"/>
                <w:color w:val="auto"/>
              </w:rPr>
            </w:pPr>
          </w:p>
        </w:tc>
        <w:tc>
          <w:tcPr>
            <w:tcW w:w="6360" w:type="dxa"/>
            <w:vAlign w:val="bottom"/>
          </w:tcPr>
          <w:p>
            <w:pPr>
              <w:spacing w:after="0"/>
              <w:rPr>
                <w:sz w:val="13"/>
                <w:szCs w:val="13"/>
                <w:color w:val="auto"/>
              </w:rPr>
            </w:pPr>
          </w:p>
        </w:tc>
        <w:tc>
          <w:tcPr>
            <w:tcW w:w="920" w:type="dxa"/>
            <w:vAlign w:val="bottom"/>
            <w:gridSpan w:val="5"/>
          </w:tcPr>
          <w:p>
            <w:pPr>
              <w:ind w:left="80"/>
              <w:spacing w:after="0" w:line="155" w:lineRule="exact"/>
              <w:rPr>
                <w:sz w:val="20"/>
                <w:szCs w:val="20"/>
                <w:color w:val="auto"/>
              </w:rPr>
            </w:pPr>
            <w:r>
              <w:rPr>
                <w:rFonts w:ascii="Times New Roman" w:cs="Times New Roman" w:eastAsia="Times New Roman" w:hAnsi="Times New Roman"/>
                <w:sz w:val="14"/>
                <w:szCs w:val="14"/>
                <w:b w:val="1"/>
                <w:bCs w:val="1"/>
                <w:color w:val="auto"/>
              </w:rPr>
              <w:t>(Amounts in</w:t>
            </w:r>
          </w:p>
        </w:tc>
        <w:tc>
          <w:tcPr>
            <w:tcW w:w="7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380" w:type="dxa"/>
            <w:vAlign w:val="bottom"/>
          </w:tcPr>
          <w:p>
            <w:pPr>
              <w:spacing w:after="0"/>
              <w:rPr>
                <w:sz w:val="13"/>
                <w:szCs w:val="13"/>
                <w:color w:val="auto"/>
              </w:rPr>
            </w:pPr>
          </w:p>
        </w:tc>
        <w:tc>
          <w:tcPr>
            <w:tcW w:w="60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8"/>
              </w:rPr>
              <w:t>(Amounts</w:t>
            </w:r>
          </w:p>
        </w:tc>
        <w:tc>
          <w:tcPr>
            <w:tcW w:w="400" w:type="dxa"/>
            <w:vAlign w:val="bottom"/>
          </w:tcPr>
          <w:p>
            <w:pPr>
              <w:jc w:val="right"/>
              <w:ind w:right="88"/>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6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4"/>
              </w:rPr>
              <w:t>thousands)</w:t>
            </w:r>
          </w:p>
        </w:tc>
        <w:tc>
          <w:tcPr>
            <w:tcW w:w="100" w:type="dxa"/>
            <w:vAlign w:val="bottom"/>
          </w:tcPr>
          <w:p>
            <w:pPr>
              <w:spacing w:after="0"/>
              <w:rPr>
                <w:sz w:val="13"/>
                <w:szCs w:val="13"/>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provision: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806</w:t>
            </w:r>
          </w:p>
        </w:tc>
        <w:tc>
          <w:tcPr>
            <w:tcW w:w="22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550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1,836</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1,809</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133</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446</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437</w:t>
            </w: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18"/>
                <w:szCs w:val="18"/>
                <w:color w:val="auto"/>
              </w:rPr>
            </w:pPr>
          </w:p>
        </w:tc>
        <w:tc>
          <w:tcPr>
            <w:tcW w:w="88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w:t>
            </w:r>
          </w:p>
        </w:tc>
      </w:tr>
      <w:tr>
        <w:trPr>
          <w:trHeight w:val="27"/>
        </w:trPr>
        <w:tc>
          <w:tcPr>
            <w:tcW w:w="20" w:type="dxa"/>
            <w:vAlign w:val="bottom"/>
          </w:tcPr>
          <w:p>
            <w:pPr>
              <w:spacing w:after="0"/>
              <w:rPr>
                <w:sz w:val="2"/>
                <w:szCs w:val="2"/>
                <w:color w:val="auto"/>
              </w:rPr>
            </w:pPr>
          </w:p>
        </w:tc>
        <w:tc>
          <w:tcPr>
            <w:tcW w:w="6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Total current provision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2,278</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2,425</w:t>
            </w:r>
          </w:p>
        </w:tc>
      </w:tr>
      <w:tr>
        <w:trPr>
          <w:trHeight w:val="223"/>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provision (benefit):</w:t>
            </w: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Federal</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496</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659</w:t>
            </w: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State</w:t>
            </w:r>
          </w:p>
        </w:tc>
        <w:tc>
          <w:tcPr>
            <w:tcW w:w="100" w:type="dxa"/>
            <w:vAlign w:val="bottom"/>
          </w:tcPr>
          <w:p>
            <w:pPr>
              <w:spacing w:after="0"/>
              <w:rPr>
                <w:sz w:val="18"/>
                <w:szCs w:val="18"/>
                <w:color w:val="auto"/>
              </w:rPr>
            </w:pPr>
          </w:p>
        </w:tc>
        <w:tc>
          <w:tcPr>
            <w:tcW w:w="6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8"/>
                <w:szCs w:val="18"/>
                <w:color w:val="auto"/>
              </w:rPr>
            </w:pPr>
          </w:p>
        </w:tc>
        <w:tc>
          <w:tcPr>
            <w:tcW w:w="88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Foreign</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(118)</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(140)</w:t>
            </w:r>
          </w:p>
        </w:tc>
      </w:tr>
      <w:tr>
        <w:trPr>
          <w:trHeight w:val="230"/>
        </w:trPr>
        <w:tc>
          <w:tcPr>
            <w:tcW w:w="20" w:type="dxa"/>
            <w:vAlign w:val="bottom"/>
          </w:tcPr>
          <w:p>
            <w:pPr>
              <w:spacing w:after="0"/>
              <w:rPr>
                <w:sz w:val="20"/>
                <w:szCs w:val="20"/>
                <w:color w:val="auto"/>
              </w:rPr>
            </w:pPr>
          </w:p>
        </w:tc>
        <w:tc>
          <w:tcPr>
            <w:tcW w:w="63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Total deferred provision (benefit)</w:t>
            </w: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w:t>
            </w: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40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272</w:t>
            </w:r>
          </w:p>
        </w:tc>
        <w:tc>
          <w:tcPr>
            <w:tcW w:w="1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4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reconciliation of income taxes computed using the statutory U.S. income tax rate and the provision for income taxes for the three and nine months ended September 30, 2022 and 2021 were as follows (amounts in thousands):</w:t>
      </w:r>
    </w:p>
    <w:p>
      <w:pPr>
        <w:spacing w:after="0" w:line="17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740" w:type="dxa"/>
            <w:vAlign w:val="bottom"/>
            <w:gridSpan w:val="11"/>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gridSpan w:val="8"/>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80" w:type="dxa"/>
            <w:vAlign w:val="bottom"/>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6"/>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computed at the federal statutory rate</w:t>
            </w:r>
          </w:p>
        </w:tc>
        <w:tc>
          <w:tcPr>
            <w:tcW w:w="1580" w:type="dxa"/>
            <w:vAlign w:val="bottom"/>
            <w:gridSpan w:val="4"/>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995</w:t>
            </w:r>
          </w:p>
        </w:tc>
        <w:tc>
          <w:tcPr>
            <w:tcW w:w="2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238</w:t>
            </w:r>
          </w:p>
        </w:tc>
        <w:tc>
          <w:tcPr>
            <w:tcW w:w="26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benefit from stock options/restricted shares</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Difference in income tax rate on foreign earnings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260" w:type="dxa"/>
            <w:vAlign w:val="bottom"/>
          </w:tcPr>
          <w:p>
            <w:pPr>
              <w:spacing w:after="0"/>
              <w:rPr>
                <w:sz w:val="18"/>
                <w:szCs w:val="18"/>
                <w:color w:val="auto"/>
              </w:rPr>
            </w:pP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80" w:type="dxa"/>
            <w:vAlign w:val="bottom"/>
            <w:gridSpan w:val="3"/>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8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92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28.3%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1,334</w:t>
            </w:r>
          </w:p>
        </w:tc>
        <w:tc>
          <w:tcPr>
            <w:tcW w:w="8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7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9"/>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00" w:type="dxa"/>
            <w:vAlign w:val="bottom"/>
            <w:tcBorders>
              <w:bottom w:val="single" w:sz="8" w:color="CCEEFF"/>
            </w:tcBorders>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7"/>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3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2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computed at the federal statutory rate</w:t>
            </w:r>
          </w:p>
        </w:tc>
        <w:tc>
          <w:tcPr>
            <w:tcW w:w="1500" w:type="dxa"/>
            <w:vAlign w:val="bottom"/>
            <w:gridSpan w:val="3"/>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2,146</w:t>
            </w: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9"/>
              </w:rPr>
              <w:t>$ 2,424</w:t>
            </w:r>
          </w:p>
        </w:tc>
        <w:tc>
          <w:tcPr>
            <w:tcW w:w="7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 net of federal tax benefit</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554</w:t>
            </w:r>
          </w:p>
        </w:tc>
        <w:tc>
          <w:tcPr>
            <w:tcW w:w="120" w:type="dxa"/>
            <w:vAlign w:val="bottom"/>
          </w:tcPr>
          <w:p>
            <w:pPr>
              <w:spacing w:after="0"/>
              <w:rPr>
                <w:sz w:val="18"/>
                <w:szCs w:val="18"/>
                <w:color w:val="auto"/>
              </w:rPr>
            </w:pPr>
          </w:p>
        </w:tc>
        <w:tc>
          <w:tcPr>
            <w:tcW w:w="9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8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619</w:t>
            </w: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Excess tax benefit from stock options/restricted shares</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w:t>
            </w:r>
          </w:p>
        </w:tc>
        <w:tc>
          <w:tcPr>
            <w:tcW w:w="7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Difference in income tax rate on foreign earnings</w:t>
            </w: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8"/>
                <w:szCs w:val="18"/>
                <w:color w:val="auto"/>
              </w:rPr>
            </w:pPr>
          </w:p>
        </w:tc>
        <w:tc>
          <w:tcPr>
            <w:tcW w:w="92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84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122</w:t>
            </w:r>
          </w:p>
        </w:tc>
        <w:tc>
          <w:tcPr>
            <w:tcW w:w="7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8"/>
                <w:szCs w:val="18"/>
                <w:color w:val="auto"/>
              </w:rPr>
            </w:pPr>
          </w:p>
        </w:tc>
        <w:tc>
          <w:tcPr>
            <w:tcW w:w="840" w:type="dxa"/>
            <w:vAlign w:val="bottom"/>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89</w:t>
            </w:r>
          </w:p>
        </w:tc>
        <w:tc>
          <w:tcPr>
            <w:tcW w:w="70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8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gridSpan w:val="2"/>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1480" w:type="dxa"/>
            <w:vAlign w:val="bottom"/>
            <w:gridSpan w:val="2"/>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3,046</w:t>
            </w:r>
          </w:p>
        </w:tc>
        <w:tc>
          <w:tcPr>
            <w:tcW w:w="20" w:type="dxa"/>
            <w:vAlign w:val="bottom"/>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80" w:type="dxa"/>
            <w:vAlign w:val="bottom"/>
            <w:vMerge w:val="continue"/>
          </w:tcPr>
          <w:p>
            <w:pPr>
              <w:spacing w:after="0"/>
              <w:rPr>
                <w:sz w:val="19"/>
                <w:szCs w:val="19"/>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$ 3,206</w:t>
            </w:r>
          </w:p>
        </w:tc>
        <w:tc>
          <w:tcPr>
            <w:tcW w:w="26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We evaluate deferred income taxes quarterly to determine if valuation allowances are required or should be adjusted. GAAP accounting guidance</w:t>
      </w:r>
    </w:p>
    <w:p>
      <w:pPr>
        <w:spacing w:after="0" w:line="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requires us to assess whether valuation allowances should be established against deferred tax assets based on all available evidence, both positive and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negative using a “more likely than not” standard. Our assessment considers, among other things, the nature of cumulative losses; forecast of future</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profitability; the duration of statutory carry-forward periods and tax planning alternatives. At September 30, 2022, our valuation allowance was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comprised of balances within locations of Singapore, the United Kingdom and Ireland. The valuation allowance balances at these locations totaled</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$583,000 and $311,000 as of September 30, 2022 and December 31, 2021, respectively, and reflect net operating losses which may not be realizable 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future. In the third quarter of 2022, the Company decided to close the Singapore and Ireland operations.</w:t>
      </w:r>
    </w:p>
    <w:p>
      <w:pPr>
        <w:spacing w:after="0" w:line="13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320" w:top="482" w:right="5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Company’s Canadian subsidiary is currently under audit by Revenue Canada for the years 2018 and 2019.</w:t>
      </w:r>
    </w:p>
    <w:p>
      <w:pPr>
        <w:spacing w:after="0" w:line="370" w:lineRule="exact"/>
        <w:rPr>
          <w:sz w:val="20"/>
          <w:szCs w:val="20"/>
          <w:color w:val="auto"/>
        </w:rPr>
      </w:pPr>
    </w:p>
    <w:p>
      <w:pPr>
        <w:ind w:left="540" w:hanging="424"/>
        <w:spacing w:after="0"/>
        <w:tabs>
          <w:tab w:leader="none" w:pos="5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 and Hedging Activities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Rate Risk Management</w:t>
      </w:r>
    </w:p>
    <w:p>
      <w:pPr>
        <w:spacing w:after="0" w:line="119" w:lineRule="exact"/>
        <w:rPr>
          <w:sz w:val="20"/>
          <w:szCs w:val="20"/>
          <w:color w:val="auto"/>
        </w:rPr>
      </w:pPr>
    </w:p>
    <w:p>
      <w:pPr>
        <w:ind w:left="120" w:right="160" w:firstLine="440"/>
        <w:spacing w:after="0" w:line="255" w:lineRule="auto"/>
        <w:rPr>
          <w:sz w:val="20"/>
          <w:szCs w:val="20"/>
          <w:color w:val="auto"/>
        </w:rPr>
      </w:pPr>
      <w:r>
        <w:rPr>
          <w:rFonts w:ascii="Times New Roman" w:cs="Times New Roman" w:eastAsia="Times New Roman" w:hAnsi="Times New Roman"/>
          <w:sz w:val="18"/>
          <w:szCs w:val="18"/>
          <w:color w:val="auto"/>
        </w:rPr>
        <w:t>Concurrent with the Company’s July 13, 2017 borrowings under its credit facility, the Company entered into a 44–month interest-rate swap to convert the debt’s variable interest rate to a fixed rate of interest. The swap contracts, which matured on April 1, 2021, were designated as cash flow hedging instruments and qualified as effective hedges at inception under ASC Topic 815, “Derivatives and Hedging”. These contracts were recognized on the balance sheet at fair value. The effective portion of the changes in fair value on these instruments was recorded in other comprehensive income (loss) and was reclassified into the Consolidated Statements of Operations as interest expense in the same period in which the underlying hedge transaction affected earnings. Because the interest-rate swap contracts matured, they had no value as of September 30, 2022, and December 31, 2021, therefore there is no balance reflected in the Consolidated Balance Sheets for these periods.</w:t>
      </w:r>
    </w:p>
    <w:p>
      <w:pPr>
        <w:spacing w:after="0" w:line="293" w:lineRule="exact"/>
        <w:rPr>
          <w:sz w:val="20"/>
          <w:szCs w:val="20"/>
          <w:color w:val="auto"/>
        </w:rPr>
      </w:pPr>
    </w:p>
    <w:p>
      <w:pPr>
        <w:jc w:val="both"/>
        <w:ind w:left="120" w:right="80"/>
        <w:spacing w:after="0" w:line="268" w:lineRule="auto"/>
        <w:rPr>
          <w:sz w:val="20"/>
          <w:szCs w:val="20"/>
          <w:color w:val="auto"/>
        </w:rPr>
      </w:pPr>
      <w:r>
        <w:rPr>
          <w:rFonts w:ascii="Times New Roman" w:cs="Times New Roman" w:eastAsia="Times New Roman" w:hAnsi="Times New Roman"/>
          <w:sz w:val="18"/>
          <w:szCs w:val="18"/>
          <w:b w:val="1"/>
          <w:bCs w:val="1"/>
          <w:color w:val="auto"/>
        </w:rPr>
        <w:t>There was no impact on the Consolidated Statements of Operations and Comprehensive Income (“OCI”) for the three and nine months ended September 30, 2022. The effect of derivative instruments on the Consolidated Statements of Operations and OCI for the three and nine months ended September 30, 2021 are as follows (in thousands):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Derivatives in</w:t>
            </w:r>
          </w:p>
        </w:tc>
        <w:tc>
          <w:tcPr>
            <w:tcW w:w="16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80" w:type="dxa"/>
            <w:vAlign w:val="bottom"/>
            <w:gridSpan w:val="2"/>
            <w:vMerge w:val="restart"/>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Location of</w:t>
            </w:r>
          </w:p>
        </w:tc>
        <w:tc>
          <w:tcPr>
            <w:tcW w:w="142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Location of</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48"/>
        </w:trPr>
        <w:tc>
          <w:tcPr>
            <w:tcW w:w="2620" w:type="dxa"/>
            <w:vAlign w:val="bottom"/>
            <w:gridSpan w:val="2"/>
            <w:vMerge w:val="continue"/>
          </w:tcPr>
          <w:p>
            <w:pPr>
              <w:spacing w:after="0"/>
              <w:rPr>
                <w:sz w:val="12"/>
                <w:szCs w:val="12"/>
                <w:color w:val="auto"/>
              </w:rPr>
            </w:pPr>
          </w:p>
        </w:tc>
        <w:tc>
          <w:tcPr>
            <w:tcW w:w="1660" w:type="dxa"/>
            <w:vAlign w:val="bottom"/>
            <w:vMerge w:val="restart"/>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ASC Topic 815</w:t>
            </w:r>
          </w:p>
        </w:tc>
        <w:tc>
          <w:tcPr>
            <w:tcW w:w="166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recognized</w:t>
            </w: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Cash Flow</w:t>
            </w:r>
          </w:p>
        </w:tc>
        <w:tc>
          <w:tcPr>
            <w:tcW w:w="1660" w:type="dxa"/>
            <w:vAlign w:val="bottom"/>
          </w:tcPr>
          <w:p>
            <w:pPr>
              <w:jc w:val="center"/>
              <w:ind w:left="368"/>
              <w:spacing w:after="0" w:line="149" w:lineRule="exact"/>
              <w:rPr>
                <w:sz w:val="20"/>
                <w:szCs w:val="20"/>
                <w:color w:val="auto"/>
              </w:rPr>
            </w:pPr>
            <w:r>
              <w:rPr>
                <w:rFonts w:ascii="Times New Roman" w:cs="Times New Roman" w:eastAsia="Times New Roman" w:hAnsi="Times New Roman"/>
                <w:sz w:val="14"/>
                <w:szCs w:val="14"/>
                <w:b w:val="1"/>
                <w:bCs w:val="1"/>
                <w:color w:val="auto"/>
              </w:rPr>
              <w:t>Gain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2"/>
          </w:tcPr>
          <w:p>
            <w:pPr>
              <w:jc w:val="center"/>
              <w:ind w:right="6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14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from</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reclassified in</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0" w:type="dxa"/>
            <w:vAlign w:val="bottom"/>
          </w:tcPr>
          <w:p>
            <w:pPr>
              <w:spacing w:after="0"/>
              <w:rPr>
                <w:sz w:val="1"/>
                <w:szCs w:val="1"/>
                <w:color w:val="auto"/>
              </w:rPr>
            </w:pPr>
          </w:p>
        </w:tc>
      </w:tr>
      <w:tr>
        <w:trPr>
          <w:trHeight w:val="148"/>
        </w:trPr>
        <w:tc>
          <w:tcPr>
            <w:tcW w:w="26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Hedging</w:t>
            </w:r>
          </w:p>
        </w:tc>
        <w:tc>
          <w:tcPr>
            <w:tcW w:w="1660" w:type="dxa"/>
            <w:vAlign w:val="bottom"/>
          </w:tcPr>
          <w:p>
            <w:pPr>
              <w:jc w:val="center"/>
              <w:ind w:left="388"/>
              <w:spacing w:after="0" w:line="149" w:lineRule="exact"/>
              <w:rPr>
                <w:sz w:val="20"/>
                <w:szCs w:val="20"/>
                <w:color w:val="auto"/>
              </w:rPr>
            </w:pPr>
            <w:r>
              <w:rPr>
                <w:rFonts w:ascii="Times New Roman" w:cs="Times New Roman" w:eastAsia="Times New Roman" w:hAnsi="Times New Roman"/>
                <w:sz w:val="14"/>
                <w:szCs w:val="14"/>
                <w:b w:val="1"/>
                <w:bCs w:val="1"/>
                <w:color w:val="auto"/>
              </w:rPr>
              <w:t>recognized in OCI</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2"/>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OCI</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 OCI</w:t>
            </w:r>
          </w:p>
        </w:tc>
        <w:tc>
          <w:tcPr>
            <w:tcW w:w="14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Income on</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Income on</w:t>
            </w:r>
          </w:p>
        </w:tc>
        <w:tc>
          <w:tcPr>
            <w:tcW w:w="0" w:type="dxa"/>
            <w:vAlign w:val="bottom"/>
          </w:tcPr>
          <w:p>
            <w:pPr>
              <w:spacing w:after="0"/>
              <w:rPr>
                <w:sz w:val="1"/>
                <w:szCs w:val="1"/>
                <w:color w:val="auto"/>
              </w:rPr>
            </w:pPr>
          </w:p>
        </w:tc>
      </w:tr>
      <w:tr>
        <w:trPr>
          <w:trHeight w:val="180"/>
        </w:trPr>
        <w:tc>
          <w:tcPr>
            <w:tcW w:w="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1780" w:type="dxa"/>
            <w:vAlign w:val="bottom"/>
          </w:tcPr>
          <w:p>
            <w:pPr>
              <w:spacing w:after="0"/>
              <w:rPr>
                <w:sz w:val="15"/>
                <w:szCs w:val="15"/>
                <w:color w:val="auto"/>
              </w:rPr>
            </w:pPr>
          </w:p>
        </w:tc>
        <w:tc>
          <w:tcPr>
            <w:tcW w:w="1660" w:type="dxa"/>
            <w:vAlign w:val="bottom"/>
            <w:tcBorders>
              <w:bottom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on Derivatives</w:t>
            </w:r>
          </w:p>
        </w:tc>
        <w:tc>
          <w:tcPr>
            <w:tcW w:w="4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Income</w:t>
            </w:r>
          </w:p>
        </w:tc>
        <w:tc>
          <w:tcPr>
            <w:tcW w:w="6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 Income</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10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Derivatives</w:t>
            </w:r>
          </w:p>
        </w:tc>
        <w:tc>
          <w:tcPr>
            <w:tcW w:w="0" w:type="dxa"/>
            <w:vAlign w:val="bottom"/>
          </w:tcPr>
          <w:p>
            <w:pPr>
              <w:spacing w:after="0"/>
              <w:rPr>
                <w:sz w:val="1"/>
                <w:szCs w:val="1"/>
                <w:color w:val="auto"/>
              </w:rPr>
            </w:pPr>
          </w:p>
        </w:tc>
      </w:tr>
      <w:tr>
        <w:trPr>
          <w:trHeight w:val="139"/>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3"/>
          </w:tcPr>
          <w:p>
            <w:pPr>
              <w:jc w:val="center"/>
              <w:spacing w:after="0" w:line="139" w:lineRule="exact"/>
              <w:rPr>
                <w:sz w:val="20"/>
                <w:szCs w:val="20"/>
                <w:color w:val="auto"/>
              </w:rPr>
            </w:pPr>
            <w:r>
              <w:rPr>
                <w:rFonts w:ascii="Times New Roman" w:cs="Times New Roman" w:eastAsia="Times New Roman" w:hAnsi="Times New Roman"/>
                <w:sz w:val="14"/>
                <w:szCs w:val="14"/>
                <w:color w:val="auto"/>
              </w:rPr>
              <w:t>(Ineffective Portion/Amounts</w:t>
            </w:r>
          </w:p>
        </w:tc>
        <w:tc>
          <w:tcPr>
            <w:tcW w:w="0" w:type="dxa"/>
            <w:vAlign w:val="bottom"/>
          </w:tcPr>
          <w:p>
            <w:pPr>
              <w:spacing w:after="0"/>
              <w:rPr>
                <w:sz w:val="1"/>
                <w:szCs w:val="1"/>
                <w:color w:val="auto"/>
              </w:rPr>
            </w:pPr>
          </w:p>
        </w:tc>
      </w:tr>
      <w:tr>
        <w:trPr>
          <w:trHeight w:val="149"/>
        </w:trPr>
        <w:tc>
          <w:tcPr>
            <w:tcW w:w="84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660" w:type="dxa"/>
            <w:vAlign w:val="bottom"/>
            <w:vMerge w:val="restart"/>
          </w:tcPr>
          <w:p>
            <w:pPr>
              <w:jc w:val="center"/>
              <w:ind w:left="388"/>
              <w:spacing w:after="0"/>
              <w:rPr>
                <w:sz w:val="20"/>
                <w:szCs w:val="20"/>
                <w:color w:val="auto"/>
              </w:rPr>
            </w:pPr>
            <w:r>
              <w:rPr>
                <w:rFonts w:ascii="Times New Roman" w:cs="Times New Roman" w:eastAsia="Times New Roman" w:hAnsi="Times New Roman"/>
                <w:sz w:val="14"/>
                <w:szCs w:val="14"/>
                <w:color w:val="auto"/>
              </w:rPr>
              <w:t>(Effective Portion)</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2"/>
            <w:vMerge w:val="restart"/>
          </w:tcPr>
          <w:p>
            <w:pPr>
              <w:jc w:val="center"/>
              <w:ind w:right="580"/>
              <w:spacing w:after="0"/>
              <w:rPr>
                <w:sz w:val="20"/>
                <w:szCs w:val="20"/>
                <w:color w:val="auto"/>
              </w:rPr>
            </w:pPr>
            <w:r>
              <w:rPr>
                <w:rFonts w:ascii="Times New Roman" w:cs="Times New Roman" w:eastAsia="Times New Roman" w:hAnsi="Times New Roman"/>
                <w:sz w:val="14"/>
                <w:szCs w:val="14"/>
                <w:color w:val="auto"/>
              </w:rPr>
              <w:t>(Effective Portion)</w:t>
            </w: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(Effective Portion)</w:t>
            </w:r>
          </w:p>
        </w:tc>
        <w:tc>
          <w:tcPr>
            <w:tcW w:w="1420" w:type="dxa"/>
            <w:vAlign w:val="bottom"/>
            <w:gridSpan w:val="2"/>
          </w:tcPr>
          <w:p>
            <w:pPr>
              <w:jc w:val="center"/>
              <w:ind w:left="664"/>
              <w:spacing w:after="0" w:line="149" w:lineRule="exact"/>
              <w:rPr>
                <w:sz w:val="20"/>
                <w:szCs w:val="20"/>
                <w:color w:val="auto"/>
              </w:rPr>
            </w:pPr>
            <w:r>
              <w:rPr>
                <w:rFonts w:ascii="Times New Roman" w:cs="Times New Roman" w:eastAsia="Times New Roman" w:hAnsi="Times New Roman"/>
                <w:sz w:val="14"/>
                <w:szCs w:val="14"/>
                <w:color w:val="auto"/>
              </w:rPr>
              <w:t>excluded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660" w:type="dxa"/>
            <w:vAlign w:val="bottom"/>
            <w:vMerge w:val="continue"/>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20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from effectiveness testing)</w:t>
            </w:r>
          </w:p>
        </w:tc>
        <w:tc>
          <w:tcPr>
            <w:tcW w:w="0" w:type="dxa"/>
            <w:vAlign w:val="bottom"/>
          </w:tcPr>
          <w:p>
            <w:pPr>
              <w:spacing w:after="0"/>
              <w:rPr>
                <w:sz w:val="1"/>
                <w:szCs w:val="1"/>
                <w:color w:val="auto"/>
              </w:rPr>
            </w:pPr>
          </w:p>
        </w:tc>
      </w:tr>
      <w:tr>
        <w:trPr>
          <w:trHeight w:val="177"/>
        </w:trPr>
        <w:tc>
          <w:tcPr>
            <w:tcW w:w="2620" w:type="dxa"/>
            <w:vAlign w:val="bottom"/>
            <w:gridSpan w:val="2"/>
            <w:vMerge w:val="continue"/>
          </w:tcPr>
          <w:p>
            <w:pPr>
              <w:spacing w:after="0"/>
              <w:rPr>
                <w:sz w:val="15"/>
                <w:szCs w:val="15"/>
                <w:color w:val="auto"/>
              </w:rPr>
            </w:pPr>
          </w:p>
        </w:tc>
        <w:tc>
          <w:tcPr>
            <w:tcW w:w="16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1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Interest-Rate Swap Contract</w:t>
            </w:r>
          </w:p>
        </w:tc>
        <w:tc>
          <w:tcPr>
            <w:tcW w:w="166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25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 —</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r>
        <w:trPr>
          <w:trHeight w:val="216"/>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16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6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September 30, 2021:</w:t>
            </w:r>
          </w:p>
        </w:tc>
        <w:tc>
          <w:tcPr>
            <w:tcW w:w="16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Interest-Rate Swap Contract</w:t>
            </w:r>
          </w:p>
        </w:tc>
        <w:tc>
          <w:tcPr>
            <w:tcW w:w="1660" w:type="dxa"/>
            <w:vAlign w:val="bottom"/>
          </w:tcPr>
          <w:p>
            <w:pPr>
              <w:spacing w:after="0"/>
              <w:rPr>
                <w:sz w:val="20"/>
                <w:szCs w:val="20"/>
                <w:color w:val="auto"/>
              </w:rPr>
            </w:pPr>
          </w:p>
        </w:tc>
        <w:tc>
          <w:tcPr>
            <w:tcW w:w="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$ 35</w:t>
            </w:r>
          </w:p>
        </w:tc>
        <w:tc>
          <w:tcPr>
            <w:tcW w:w="25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Interest Expense</w:t>
            </w:r>
          </w:p>
        </w:tc>
        <w:tc>
          <w:tcPr>
            <w:tcW w:w="1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$ 34</w:t>
            </w:r>
          </w:p>
        </w:tc>
        <w:tc>
          <w:tcPr>
            <w:tcW w:w="14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 —</w:t>
            </w: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540" w:hanging="424"/>
        <w:spacing w:after="0"/>
        <w:tabs>
          <w:tab w:leader="none" w:pos="5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12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The Company has adopted the provisions of ASC 820, “Fair Value Measurements and Disclosures” (“ASC 820”), related to certain financial and nonfinancial assets and liabilities. ASC 820 establishes the authoritative definition of fair value; sets out a framework for measuring fair value; and expands the required disclosures about fair value measurements. The valuation techniques required by ASC 820 are based on observable and unobservable inputs using the following three-tier hierarchy:</w:t>
      </w:r>
    </w:p>
    <w:p>
      <w:pPr>
        <w:spacing w:after="0" w:line="85" w:lineRule="exact"/>
        <w:rPr>
          <w:sz w:val="20"/>
          <w:szCs w:val="20"/>
          <w:color w:val="auto"/>
        </w:rPr>
      </w:pPr>
    </w:p>
    <w:p>
      <w:pPr>
        <w:ind w:left="1540" w:hanging="439"/>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1—Inputs are observable quoted prices (unadjusted) in active markets for identical assets and liabilities.</w:t>
      </w:r>
    </w:p>
    <w:p>
      <w:pPr>
        <w:spacing w:after="0" w:line="130" w:lineRule="exact"/>
        <w:rPr>
          <w:rFonts w:ascii="Times New Roman" w:cs="Times New Roman" w:eastAsia="Times New Roman" w:hAnsi="Times New Roman"/>
          <w:sz w:val="18"/>
          <w:szCs w:val="18"/>
          <w:color w:val="auto"/>
        </w:rPr>
      </w:pPr>
    </w:p>
    <w:p>
      <w:pPr>
        <w:ind w:left="1540" w:right="180" w:hanging="439"/>
        <w:spacing w:after="0" w:line="266" w:lineRule="auto"/>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are observable, other than quoted prices included in Level 1, such as quoted prices for similar assets and liabilities in active markets; quoted prices for identical or similar assets and liabilities in markets that are not active; or other inputs that are directly or indirectly observable in the marketplace.</w:t>
      </w:r>
    </w:p>
    <w:p>
      <w:pPr>
        <w:spacing w:after="0" w:line="81" w:lineRule="exact"/>
        <w:rPr>
          <w:rFonts w:ascii="Times New Roman" w:cs="Times New Roman" w:eastAsia="Times New Roman" w:hAnsi="Times New Roman"/>
          <w:sz w:val="18"/>
          <w:szCs w:val="18"/>
          <w:color w:val="auto"/>
        </w:rPr>
      </w:pPr>
    </w:p>
    <w:p>
      <w:pPr>
        <w:ind w:left="1540" w:hanging="439"/>
        <w:spacing w:after="0"/>
        <w:tabs>
          <w:tab w:leader="none" w:pos="1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3—Inputs are unobservable that are supported by little or no market activity.</w:t>
      </w:r>
    </w:p>
    <w:p>
      <w:pPr>
        <w:spacing w:after="0" w:line="198" w:lineRule="exact"/>
        <w:rPr>
          <w:sz w:val="20"/>
          <w:szCs w:val="20"/>
          <w:color w:val="auto"/>
        </w:rPr>
      </w:pPr>
    </w:p>
    <w:p>
      <w:pPr>
        <w:ind w:left="120" w:right="220" w:firstLine="440"/>
        <w:spacing w:after="0" w:line="266" w:lineRule="auto"/>
        <w:rPr>
          <w:sz w:val="20"/>
          <w:szCs w:val="20"/>
          <w:color w:val="auto"/>
        </w:rPr>
      </w:pPr>
      <w:r>
        <w:rPr>
          <w:rFonts w:ascii="Times New Roman" w:cs="Times New Roman" w:eastAsia="Times New Roman" w:hAnsi="Times New Roman"/>
          <w:sz w:val="18"/>
          <w:szCs w:val="18"/>
          <w:color w:val="auto"/>
        </w:rPr>
        <w:t>In prior periods, the company carried interest-rate swap contracts and contingent consideration liabilities at fair value measured on a recurring basis. At September 30, 2022 and December 31, 2021, the Company did not have any balances in the financial statements related to these items as the swap matured on April 1, 2021 and the contingent consideration was revalued to zero as of December 31, 2021.</w:t>
      </w:r>
    </w:p>
    <w:p>
      <w:pPr>
        <w:spacing w:after="0" w:line="199" w:lineRule="exact"/>
        <w:rPr>
          <w:sz w:val="20"/>
          <w:szCs w:val="20"/>
          <w:color w:val="auto"/>
        </w:rPr>
      </w:pPr>
    </w:p>
    <w:p>
      <w:pPr>
        <w:ind w:left="540" w:hanging="424"/>
        <w:spacing w:after="0"/>
        <w:tabs>
          <w:tab w:leader="none" w:pos="5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Shareholders’ Equity</w:t>
      </w:r>
    </w:p>
    <w:p>
      <w:pPr>
        <w:spacing w:after="0" w:line="121"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Company purchases shares to satisfy employee tax obligations related to its Stock Incentive Plan. The Company did not purchase any shares during the nine months ended September 30, 2022 and 2021.</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40"/>
          </w:cols>
          <w:pgMar w:left="320" w:top="482"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540" w:hanging="424"/>
        <w:spacing w:after="0"/>
        <w:tabs>
          <w:tab w:leader="none" w:pos="5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Earnings Per Share</w:t>
      </w:r>
    </w:p>
    <w:p>
      <w:pPr>
        <w:spacing w:after="0" w:line="121" w:lineRule="exact"/>
        <w:rPr>
          <w:sz w:val="20"/>
          <w:szCs w:val="20"/>
          <w:color w:val="auto"/>
        </w:rPr>
      </w:pPr>
    </w:p>
    <w:p>
      <w:pPr>
        <w:jc w:val="both"/>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The computation of basic earnings per share is based on the Company’s net income divided by the weighted average number of common shares outstanding. Diluted earnings per share reflect the potential dilution that could occur if outstanding stock options were exercised. The dilutive effect of stock options was calculated using the treasury stock method.</w:t>
      </w:r>
    </w:p>
    <w:p>
      <w:pPr>
        <w:spacing w:after="0" w:line="149"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2022, there were 644,000 and 549,000 anti-dilutive stock options excluded from the computation of diluted earnings per share. For the three months and nine months ended September 30, 2021, there were 270,000 anti-dilutive stock options excluded from the computation of diluted earnings per share.</w:t>
      </w:r>
    </w:p>
    <w:p>
      <w:pPr>
        <w:spacing w:after="0" w:line="199" w:lineRule="exact"/>
        <w:rPr>
          <w:sz w:val="20"/>
          <w:szCs w:val="20"/>
          <w:color w:val="auto"/>
        </w:rPr>
      </w:pPr>
    </w:p>
    <w:p>
      <w:pPr>
        <w:ind w:left="540" w:hanging="424"/>
        <w:spacing w:after="0"/>
        <w:tabs>
          <w:tab w:leader="none" w:pos="5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Segments and Geographic Information</w:t>
      </w:r>
    </w:p>
    <w:p>
      <w:pPr>
        <w:spacing w:after="0" w:line="121" w:lineRule="exact"/>
        <w:rPr>
          <w:rFonts w:ascii="Times New Roman" w:cs="Times New Roman" w:eastAsia="Times New Roman" w:hAnsi="Times New Roman"/>
          <w:sz w:val="18"/>
          <w:szCs w:val="18"/>
          <w:b w:val="1"/>
          <w:bCs w:val="1"/>
          <w:color w:val="auto"/>
        </w:rPr>
      </w:pPr>
    </w:p>
    <w:p>
      <w:pPr>
        <w:ind w:left="5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reporting segments are: 1) Data and Analytics Services; and 2) IT Staffing Services.</w:t>
      </w:r>
    </w:p>
    <w:p>
      <w:pPr>
        <w:spacing w:after="0" w:line="185" w:lineRule="exact"/>
        <w:rPr>
          <w:sz w:val="20"/>
          <w:szCs w:val="20"/>
          <w:color w:val="auto"/>
        </w:rPr>
      </w:pPr>
    </w:p>
    <w:p>
      <w:pPr>
        <w:ind w:left="120" w:right="20" w:firstLine="440"/>
        <w:spacing w:after="0" w:line="255" w:lineRule="auto"/>
        <w:rPr>
          <w:sz w:val="20"/>
          <w:szCs w:val="20"/>
          <w:color w:val="auto"/>
        </w:rPr>
      </w:pPr>
      <w:r>
        <w:rPr>
          <w:rFonts w:ascii="Times New Roman" w:cs="Times New Roman" w:eastAsia="Times New Roman" w:hAnsi="Times New Roman"/>
          <w:sz w:val="18"/>
          <w:szCs w:val="18"/>
          <w:color w:val="auto"/>
        </w:rPr>
        <w:t>The Data and Analytics Services segment was acquired through the July 13, 2017 acquisition of the services division of Canada-based InfoTrellis, Inc. This segment is a project-based consulting services business with specialized capabilities in data management and analytics. The business is marketed as Mastech InfoTrellis and utilizes a dedicated sales team with deep subject matter expertise. Mastech InfoTrellis has offices in Atlanta, Toronto and London, and a global delivery center in Chennai, India. Project-based delivery reflects a combination of on-site resources and offshore resources. Assignments are secured on both a time and material and fixed price basis. In October 2020, we acquired AmberLeaf, a Chicago-based customer experience consulting firm. This acquisition expanded our capabilities in customer experience strategy and managed services offering for a variety of Cloud-based enterprise application across sales, marketing and customer service organizations.</w:t>
      </w:r>
    </w:p>
    <w:p>
      <w:pPr>
        <w:spacing w:after="0" w:line="148"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IT Staffing Services segment offers staffing services in digital and mainstream technologies and uses digital methods to enhance organizational learning. These services are marketed using a common sales force and delivered via our domestic and global recruitment centers. While the vast majority of our assignments are based on time and materials, we do have the capabilities to deliver our digital transformation services on a fixed price basis.</w:t>
      </w:r>
    </w:p>
    <w:p>
      <w:pPr>
        <w:spacing w:after="0" w:line="16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94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4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5"/>
                <w:szCs w:val="15"/>
                <w:color w:val="auto"/>
              </w:rPr>
            </w:pPr>
          </w:p>
        </w:tc>
        <w:tc>
          <w:tcPr>
            <w:tcW w:w="194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4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1"/>
              </w:rPr>
              <w:t>(Amounts</w:t>
            </w:r>
          </w:p>
        </w:tc>
        <w:tc>
          <w:tcPr>
            <w:tcW w:w="46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62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1"/>
              </w:rPr>
              <w:t>thousands)</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98"/>
              </w:rPr>
              <w:t>(Amounts</w:t>
            </w:r>
          </w:p>
        </w:tc>
        <w:tc>
          <w:tcPr>
            <w:tcW w:w="460" w:type="dxa"/>
            <w:vAlign w:val="bottom"/>
            <w:gridSpan w:val="2"/>
          </w:tcPr>
          <w:p>
            <w:pPr>
              <w:ind w:left="140"/>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w w:val="96"/>
              </w:rPr>
              <w:t>10,076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w w:val="96"/>
              </w:rPr>
              <w:t>10,523</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31,478</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28,267</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w w:val="96"/>
              </w:rPr>
              <w:t>53,074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w w:val="96"/>
              </w:rPr>
              <w:t>49,008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w w:val="99"/>
              </w:rPr>
              <w:t>153,544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w w:val="95"/>
              </w:rPr>
              <w:t>134,697</w:t>
            </w:r>
          </w:p>
        </w:tc>
        <w:tc>
          <w:tcPr>
            <w:tcW w:w="0" w:type="dxa"/>
            <w:vAlign w:val="bottom"/>
          </w:tcPr>
          <w:p>
            <w:pPr>
              <w:spacing w:after="0"/>
              <w:rPr>
                <w:sz w:val="1"/>
                <w:szCs w:val="1"/>
                <w:color w:val="auto"/>
              </w:rPr>
            </w:pPr>
          </w:p>
        </w:tc>
      </w:tr>
      <w:tr>
        <w:trPr>
          <w:trHeight w:val="223"/>
        </w:trPr>
        <w:tc>
          <w:tcPr>
            <w:tcW w:w="4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revenues</w:t>
            </w:r>
          </w:p>
        </w:tc>
        <w:tc>
          <w:tcPr>
            <w:tcW w:w="1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63,150</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59,531</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185,022</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162,964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Margin %:</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39.6%</w:t>
            </w:r>
          </w:p>
        </w:tc>
        <w:tc>
          <w:tcPr>
            <w:tcW w:w="12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8"/>
                <w:szCs w:val="18"/>
                <w:color w:val="auto"/>
              </w:rPr>
            </w:pP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42.8%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23.2%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23.1%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0"/>
        </w:trPr>
        <w:tc>
          <w:tcPr>
            <w:tcW w:w="442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gross margin %</w:t>
            </w:r>
          </w:p>
        </w:tc>
        <w:tc>
          <w:tcPr>
            <w:tcW w:w="1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420" w:type="dxa"/>
            <w:vAlign w:val="bottom"/>
            <w:vMerge w:val="continue"/>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25.8%</w:t>
            </w:r>
          </w:p>
        </w:tc>
        <w:tc>
          <w:tcPr>
            <w:tcW w:w="120" w:type="dxa"/>
            <w:vAlign w:val="bottom"/>
          </w:tcPr>
          <w:p>
            <w:pPr>
              <w:spacing w:after="0"/>
              <w:rPr>
                <w:sz w:val="19"/>
                <w:szCs w:val="19"/>
                <w:color w:val="auto"/>
              </w:rPr>
            </w:pPr>
          </w:p>
        </w:tc>
        <w:tc>
          <w:tcPr>
            <w:tcW w:w="9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27.9%</w:t>
            </w:r>
          </w:p>
        </w:tc>
        <w:tc>
          <w:tcPr>
            <w:tcW w:w="100" w:type="dxa"/>
            <w:vAlign w:val="bottom"/>
          </w:tcPr>
          <w:p>
            <w:pPr>
              <w:spacing w:after="0"/>
              <w:rPr>
                <w:sz w:val="19"/>
                <w:szCs w:val="19"/>
                <w:color w:val="auto"/>
              </w:rPr>
            </w:pPr>
          </w:p>
        </w:tc>
        <w:tc>
          <w:tcPr>
            <w:tcW w:w="90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26.5%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operating income:</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88"/>
              <w:spacing w:after="0"/>
              <w:rPr>
                <w:sz w:val="20"/>
                <w:szCs w:val="20"/>
                <w:color w:val="auto"/>
              </w:rPr>
            </w:pPr>
            <w:r>
              <w:rPr>
                <w:rFonts w:ascii="Times New Roman" w:cs="Times New Roman" w:eastAsia="Times New Roman" w:hAnsi="Times New Roman"/>
                <w:sz w:val="18"/>
                <w:szCs w:val="18"/>
                <w:color w:val="auto"/>
              </w:rPr>
              <w:t>826</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1,851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2,615</w:t>
            </w:r>
          </w:p>
        </w:tc>
        <w:tc>
          <w:tcPr>
            <w:tcW w:w="2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3,014</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8"/>
              <w:spacing w:after="0"/>
              <w:rPr>
                <w:sz w:val="20"/>
                <w:szCs w:val="20"/>
                <w:color w:val="auto"/>
              </w:rPr>
            </w:pPr>
            <w:r>
              <w:rPr>
                <w:rFonts w:ascii="Times New Roman" w:cs="Times New Roman" w:eastAsia="Times New Roman" w:hAnsi="Times New Roman"/>
                <w:sz w:val="18"/>
                <w:szCs w:val="18"/>
                <w:color w:val="auto"/>
              </w:rPr>
              <w:t>3,892</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3,916</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10,542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9,537</w:t>
            </w:r>
          </w:p>
        </w:tc>
        <w:tc>
          <w:tcPr>
            <w:tcW w:w="0" w:type="dxa"/>
            <w:vAlign w:val="bottom"/>
          </w:tcPr>
          <w:p>
            <w:pPr>
              <w:spacing w:after="0"/>
              <w:rPr>
                <w:sz w:val="1"/>
                <w:szCs w:val="1"/>
                <w:color w:val="auto"/>
              </w:rPr>
            </w:pPr>
          </w:p>
        </w:tc>
      </w:tr>
      <w:tr>
        <w:trPr>
          <w:trHeight w:val="223"/>
        </w:trPr>
        <w:tc>
          <w:tcPr>
            <w:tcW w:w="4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Subtotal</w:t>
            </w:r>
          </w:p>
        </w:tc>
        <w:tc>
          <w:tcPr>
            <w:tcW w:w="15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4,718</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13,157</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(2,375)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(2,378)</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Revaluation of contingent consideration liability</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1,982</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Reserve for cyber-security breach</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(450)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8"/>
                <w:szCs w:val="18"/>
                <w:color w:val="auto"/>
              </w:rPr>
              <w:t>(450)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Severance expense</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(120)</w:t>
            </w:r>
          </w:p>
        </w:tc>
        <w:tc>
          <w:tcPr>
            <w:tcW w:w="120" w:type="dxa"/>
            <w:vAlign w:val="bottom"/>
          </w:tcPr>
          <w:p>
            <w:pPr>
              <w:spacing w:after="0"/>
              <w:rPr>
                <w:sz w:val="18"/>
                <w:szCs w:val="18"/>
                <w:color w:val="auto"/>
              </w:rPr>
            </w:pPr>
          </w:p>
        </w:tc>
        <w:tc>
          <w:tcPr>
            <w:tcW w:w="96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(120)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expenses and other, net</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(235)</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23"/>
        </w:trPr>
        <w:tc>
          <w:tcPr>
            <w:tcW w:w="442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3,357</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4,740</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10,220</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11,544</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540" w:type="dxa"/>
            <w:vAlign w:val="bottom"/>
            <w:vMerge w:val="restart"/>
          </w:tcPr>
          <w:p>
            <w:pPr>
              <w:jc w:val="right"/>
              <w:ind w:right="71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420" w:type="dxa"/>
            <w:vAlign w:val="bottom"/>
          </w:tcPr>
          <w:p>
            <w:pPr>
              <w:spacing w:after="0"/>
              <w:rPr>
                <w:sz w:val="24"/>
                <w:szCs w:val="24"/>
                <w:color w:val="auto"/>
              </w:rPr>
            </w:pPr>
          </w:p>
        </w:tc>
        <w:tc>
          <w:tcPr>
            <w:tcW w:w="15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2" w:right="47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reconciliation of segment total assets to consolidated total assets: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5"/>
                <w:szCs w:val="15"/>
                <w:color w:val="auto"/>
              </w:rPr>
            </w:pPr>
          </w:p>
        </w:tc>
      </w:tr>
      <w:tr>
        <w:trPr>
          <w:trHeight w:val="155"/>
        </w:trPr>
        <w:tc>
          <w:tcPr>
            <w:tcW w:w="6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(Amounts</w:t>
            </w:r>
          </w:p>
        </w:tc>
        <w:tc>
          <w:tcPr>
            <w:tcW w:w="300" w:type="dxa"/>
            <w:vAlign w:val="bottom"/>
            <w:gridSpan w:val="2"/>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84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40" w:type="dxa"/>
            <w:vAlign w:val="bottom"/>
          </w:tcPr>
          <w:p>
            <w:pPr>
              <w:spacing w:after="0"/>
              <w:rPr>
                <w:sz w:val="13"/>
                <w:szCs w:val="13"/>
                <w:color w:val="auto"/>
              </w:rPr>
            </w:pPr>
          </w:p>
        </w:tc>
      </w:tr>
      <w:tr>
        <w:trPr>
          <w:trHeight w:val="216"/>
        </w:trPr>
        <w:tc>
          <w:tcPr>
            <w:tcW w:w="6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3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56,644</w:t>
            </w:r>
          </w:p>
        </w:tc>
        <w:tc>
          <w:tcPr>
            <w:tcW w:w="28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56,634</w:t>
            </w:r>
          </w:p>
        </w:tc>
      </w:tr>
      <w:tr>
        <w:trPr>
          <w:trHeight w:val="216"/>
        </w:trPr>
        <w:tc>
          <w:tcPr>
            <w:tcW w:w="63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IT Staffing Services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58,132</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57,068</w:t>
            </w:r>
          </w:p>
        </w:tc>
      </w:tr>
      <w:tr>
        <w:trPr>
          <w:trHeight w:val="223"/>
        </w:trPr>
        <w:tc>
          <w:tcPr>
            <w:tcW w:w="63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114,776</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113,702</w:t>
            </w:r>
          </w:p>
        </w:tc>
        <w:tc>
          <w:tcPr>
            <w:tcW w:w="40" w:type="dxa"/>
            <w:vAlign w:val="bottom"/>
          </w:tcPr>
          <w:p>
            <w:pPr>
              <w:spacing w:after="0"/>
              <w:rPr>
                <w:sz w:val="19"/>
                <w:szCs w:val="19"/>
                <w:color w:val="auto"/>
              </w:rPr>
            </w:pPr>
          </w:p>
        </w:tc>
      </w:tr>
      <w:tr>
        <w:trPr>
          <w:trHeight w:val="20"/>
        </w:trPr>
        <w:tc>
          <w:tcPr>
            <w:tcW w:w="6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geographic information related to our revenues from external customers: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360" w:type="dxa"/>
            <w:vAlign w:val="bottom"/>
          </w:tcPr>
          <w:p>
            <w:pPr>
              <w:spacing w:after="0"/>
              <w:rPr>
                <w:sz w:val="13"/>
                <w:szCs w:val="13"/>
                <w:color w:val="auto"/>
              </w:rPr>
            </w:pPr>
          </w:p>
        </w:tc>
        <w:tc>
          <w:tcPr>
            <w:tcW w:w="200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7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73"/>
        </w:trPr>
        <w:tc>
          <w:tcPr>
            <w:tcW w:w="6360" w:type="dxa"/>
            <w:vAlign w:val="bottom"/>
          </w:tcPr>
          <w:p>
            <w:pPr>
              <w:spacing w:after="0"/>
              <w:rPr>
                <w:sz w:val="15"/>
                <w:szCs w:val="15"/>
                <w:color w:val="auto"/>
              </w:rPr>
            </w:pPr>
          </w:p>
        </w:tc>
        <w:tc>
          <w:tcPr>
            <w:tcW w:w="200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76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42"/>
        </w:trPr>
        <w:tc>
          <w:tcPr>
            <w:tcW w:w="636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40" w:type="dxa"/>
            <w:vAlign w:val="bottom"/>
            <w:tcBorders>
              <w:top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155"/>
        </w:trPr>
        <w:tc>
          <w:tcPr>
            <w:tcW w:w="636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(Amounts</w:t>
            </w:r>
          </w:p>
        </w:tc>
        <w:tc>
          <w:tcPr>
            <w:tcW w:w="340" w:type="dxa"/>
            <w:vAlign w:val="bottom"/>
            <w:gridSpan w:val="2"/>
          </w:tcPr>
          <w:p>
            <w:pPr>
              <w:ind w:left="100"/>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68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340" w:type="dxa"/>
            <w:vAlign w:val="bottom"/>
          </w:tcPr>
          <w:p>
            <w:pPr>
              <w:spacing w:after="0"/>
              <w:rPr>
                <w:sz w:val="13"/>
                <w:szCs w:val="13"/>
                <w:color w:val="auto"/>
              </w:rPr>
            </w:pPr>
          </w:p>
        </w:tc>
        <w:tc>
          <w:tcPr>
            <w:tcW w:w="6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(Amounts</w:t>
            </w:r>
          </w:p>
        </w:tc>
        <w:tc>
          <w:tcPr>
            <w:tcW w:w="34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b w:val="1"/>
                <w:bCs w:val="1"/>
                <w:color w:val="auto"/>
              </w:rPr>
              <w:t>in</w:t>
            </w:r>
          </w:p>
        </w:tc>
        <w:tc>
          <w:tcPr>
            <w:tcW w:w="700" w:type="dxa"/>
            <w:vAlign w:val="bottom"/>
          </w:tcPr>
          <w:p>
            <w:pPr>
              <w:jc w:val="right"/>
              <w:ind w:right="36"/>
              <w:spacing w:after="0" w:line="155" w:lineRule="exact"/>
              <w:rPr>
                <w:sz w:val="20"/>
                <w:szCs w:val="20"/>
                <w:color w:val="auto"/>
              </w:rPr>
            </w:pPr>
            <w:r>
              <w:rPr>
                <w:rFonts w:ascii="Times New Roman" w:cs="Times New Roman" w:eastAsia="Times New Roman" w:hAnsi="Times New Roman"/>
                <w:sz w:val="14"/>
                <w:szCs w:val="14"/>
                <w:b w:val="1"/>
                <w:bCs w:val="1"/>
                <w:color w:val="auto"/>
                <w:w w:val="85"/>
              </w:rPr>
              <w:t>thousands)</w:t>
            </w:r>
          </w:p>
        </w:tc>
        <w:tc>
          <w:tcPr>
            <w:tcW w:w="40" w:type="dxa"/>
            <w:vAlign w:val="bottom"/>
          </w:tcPr>
          <w:p>
            <w:pPr>
              <w:spacing w:after="0"/>
              <w:rPr>
                <w:sz w:val="13"/>
                <w:szCs w:val="13"/>
                <w:color w:val="auto"/>
              </w:rPr>
            </w:pP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$ 61,704</w:t>
            </w:r>
          </w:p>
        </w:tc>
        <w:tc>
          <w:tcPr>
            <w:tcW w:w="4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57,682</w:t>
            </w:r>
          </w:p>
        </w:tc>
        <w:tc>
          <w:tcPr>
            <w:tcW w:w="10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w w:val="97"/>
              </w:rPr>
              <w:t>$180,519</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$157,156</w:t>
            </w:r>
          </w:p>
        </w:tc>
      </w:tr>
      <w:tr>
        <w:trPr>
          <w:trHeight w:val="216"/>
        </w:trPr>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988</w:t>
            </w:r>
          </w:p>
        </w:tc>
        <w:tc>
          <w:tcPr>
            <w:tcW w:w="102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3,187</w:t>
            </w: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3,270</w:t>
            </w:r>
          </w:p>
        </w:tc>
      </w:tr>
      <w:tr>
        <w:trPr>
          <w:trHeight w:val="216"/>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 and Other</w:t>
            </w: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861</w:t>
            </w:r>
          </w:p>
        </w:tc>
        <w:tc>
          <w:tcPr>
            <w:tcW w:w="1020" w:type="dxa"/>
            <w:vAlign w:val="bottom"/>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1,316</w:t>
            </w:r>
          </w:p>
        </w:tc>
        <w:tc>
          <w:tcPr>
            <w:tcW w:w="7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2,538</w:t>
            </w:r>
          </w:p>
        </w:tc>
      </w:tr>
      <w:tr>
        <w:trPr>
          <w:trHeight w:val="223"/>
        </w:trPr>
        <w:tc>
          <w:tcPr>
            <w:tcW w:w="63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$ 63,150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59,531</w:t>
            </w:r>
          </w:p>
        </w:tc>
        <w:tc>
          <w:tcPr>
            <w:tcW w:w="3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185,022</w:t>
            </w:r>
          </w:p>
        </w:tc>
        <w:tc>
          <w:tcPr>
            <w:tcW w:w="3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162,964</w:t>
            </w:r>
          </w:p>
        </w:tc>
        <w:tc>
          <w:tcPr>
            <w:tcW w:w="40" w:type="dxa"/>
            <w:vAlign w:val="bottom"/>
          </w:tcPr>
          <w:p>
            <w:pPr>
              <w:spacing w:after="0"/>
              <w:rPr>
                <w:sz w:val="19"/>
                <w:szCs w:val="19"/>
                <w:color w:val="auto"/>
              </w:rPr>
            </w:pPr>
          </w:p>
        </w:tc>
      </w:tr>
      <w:tr>
        <w:trPr>
          <w:trHeight w:val="20"/>
        </w:trPr>
        <w:tc>
          <w:tcPr>
            <w:tcW w:w="63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56" w:lineRule="exact"/>
        <w:rPr>
          <w:sz w:val="20"/>
          <w:szCs w:val="20"/>
          <w:color w:val="auto"/>
        </w:rPr>
      </w:pPr>
    </w:p>
    <w:p>
      <w:pPr>
        <w:ind w:left="540" w:hanging="424"/>
        <w:spacing w:after="0"/>
        <w:tabs>
          <w:tab w:leader="none" w:pos="5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Recently Issued Accounting Standards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21"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In November 2021, the FASB issued ASU 2021-10, “Government Assistance (Topic 832): Disclosures by Business Entities about Government Assistance”. The amendments in this ASU require annual disclosures to increase the transparency of government assistance received by a business entity including information about the nature of the government transactions, related accounting policy, the line items on the balance sheet and income statement that are affected, amounts applicable to each financial statement line item, and significant terms and conditions of the transactions, including commitments and contingencies. The amendments in this ASU are effective for annual periods beginning after December 15, 2021. We adopted this ASU on January 1, 2022, with no material impact on our financial statements.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 not yet adopted</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In October 2021, the FASB issued ASU 2021-08, “Business Combinations (Topic 805): Accounting for Contract Assets and Contract Liabilities from Contracts with Customers”. The amendments in this ASU require that an entity (acquirer) recognize, and measure contract assets and contract liabilities acquired in a business combination, including contract assets and contract liabilities arising from revenue contracts with customers, as if it had originated the contracts as of the acquisition date. The amendments in this ASU are effective for annual and interim periods beginning after December 15, 2022. Early adoption is permitted. The Company does not expect this ASU to have a material impact on its financial statements.</w:t>
      </w:r>
    </w:p>
    <w:p>
      <w:pPr>
        <w:spacing w:after="0" w:line="183"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 variety of proposed or otherwise potential accounting standards are currently under consideration by standard-setting organizations and certain regulatory agencies. Because of the tentative and preliminary nature of such proposed standards, management has not yet determined the effect, if any that the implementation of such proposed standards would have on the Company’s consolidated financial statements.</w:t>
      </w:r>
    </w:p>
    <w:p>
      <w:pPr>
        <w:spacing w:after="0" w:line="320" w:lineRule="exact"/>
        <w:rPr>
          <w:sz w:val="20"/>
          <w:szCs w:val="20"/>
          <w:color w:val="auto"/>
        </w:rPr>
      </w:pPr>
    </w:p>
    <w:p>
      <w:pPr>
        <w:ind w:left="540" w:hanging="424"/>
        <w:spacing w:after="0"/>
        <w:tabs>
          <w:tab w:leader="none" w:pos="5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w:t>
      </w:r>
    </w:p>
    <w:p>
      <w:pPr>
        <w:spacing w:after="0" w:line="121" w:lineRule="exact"/>
        <w:rPr>
          <w:sz w:val="20"/>
          <w:szCs w:val="20"/>
          <w:color w:val="auto"/>
        </w:rPr>
      </w:pPr>
    </w:p>
    <w:p>
      <w:pPr>
        <w:ind w:left="120" w:right="540" w:firstLine="440"/>
        <w:spacing w:after="0" w:line="261" w:lineRule="auto"/>
        <w:rPr>
          <w:sz w:val="20"/>
          <w:szCs w:val="20"/>
          <w:color w:val="auto"/>
        </w:rPr>
      </w:pPr>
      <w:r>
        <w:rPr>
          <w:rFonts w:ascii="Times New Roman" w:cs="Times New Roman" w:eastAsia="Times New Roman" w:hAnsi="Times New Roman"/>
          <w:sz w:val="18"/>
          <w:szCs w:val="18"/>
          <w:color w:val="auto"/>
        </w:rPr>
        <w:t>On and effective November 1, 2022, Ganeshan Venkateshwaran resigned as the Chief Executive Officer of the Data and Analytics Services segment. Concurrent with this resignation, Mr. Venkateshwaran and the Company entered into an Amendment, (the “Amendment”), to</w:t>
      </w:r>
    </w:p>
    <w:p>
      <w:pPr>
        <w:ind w:left="120"/>
        <w:spacing w:after="0" w:line="253" w:lineRule="auto"/>
        <w:rPr>
          <w:sz w:val="20"/>
          <w:szCs w:val="20"/>
          <w:color w:val="auto"/>
        </w:rPr>
      </w:pPr>
      <w:r>
        <w:rPr>
          <w:rFonts w:ascii="Times New Roman" w:cs="Times New Roman" w:eastAsia="Times New Roman" w:hAnsi="Times New Roman"/>
          <w:sz w:val="18"/>
          <w:szCs w:val="18"/>
          <w:color w:val="auto"/>
        </w:rPr>
        <w:t>Mr. Venkateshwaran’s Executive Employment Agreement dated as of March 28, 2022 (the “Employment Agreement”). Under the terms of the Amendment, Mr. Venkateshwaran will be entitled to receive a severance payment equal to $700,000, with $550,000 paid out over a twelve (12) month period and the remaining $150,000 paid out in a lump sum, in each case in accordance with the Company’s normal payroll practices. Additionally, under the terms of the Amendment, Mr. Venkateshwaran’s unvested stock options ceased vesting on November 1, 2022.</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You should read the following discussion in conjunction with our audited consolidated financial statements and accompanying notes for the year ended December 31, 2021, included in our Annual Report on Form 10-K, filed with the Securities and Exchange Commission (“SEC”) on March 14, 2022.</w:t>
      </w:r>
    </w:p>
    <w:p>
      <w:pPr>
        <w:spacing w:after="0" w:line="176"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including statements about future events, future performance, plans, strategies, expectations, prospects, competitive environment and regulations. Forward-looking statements include all statements that are not historical facts and can be identified by the use of forward-looking terminology such as the words, “may”, “will”, “expect”, “anticipate”, “believe”, “estimate”, “plan”, “intend” or the negative of these terms or similar expressions in this quarterly report on Form 10-Q. We have based these forward-looking statements on our current views with respect to future events and financial performance. Our actual financial performance could differ materially from those projected in the forward-looking statements due to the inherent uncertainty of estimates, forecasts and projections and our financial performance may be better or worse than anticipated. Given these uncertainties, you should not put undue reliance on any forward-looking statements. All of the forward-looking statements are qualified in their entirety by reference to the factors discussed under “Risk Factors”, “Forward-Looking Statements” and elsewhere in our Annual Report on Form 10-K for the year ended December 31, 2021. Forward-looking statements represent our estimates and assumptions only as of the date that they were made. We do not undertake any duty to update forward-looking statements and the estimates and assumptions associated with them, after the date of this quarterly report on Form 10-Q, except to the extent required by applicable securities laws.</w:t>
      </w:r>
    </w:p>
    <w:p>
      <w:pPr>
        <w:spacing w:after="0" w:line="2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Website Access to SEC Reports:</w:t>
      </w:r>
    </w:p>
    <w:p>
      <w:pPr>
        <w:spacing w:after="0" w:line="121" w:lineRule="exact"/>
        <w:rPr>
          <w:sz w:val="20"/>
          <w:szCs w:val="20"/>
          <w:color w:val="auto"/>
        </w:rPr>
      </w:pPr>
    </w:p>
    <w:p>
      <w:pPr>
        <w:ind w:left="120"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Company’s website is </w:t>
      </w:r>
      <w:r>
        <w:rPr>
          <w:rFonts w:ascii="Times New Roman" w:cs="Times New Roman" w:eastAsia="Times New Roman" w:hAnsi="Times New Roman"/>
          <w:sz w:val="18"/>
          <w:szCs w:val="18"/>
          <w:u w:val="single" w:color="auto"/>
          <w:color w:val="auto"/>
        </w:rPr>
        <w:t>www.mastechdigital.com</w:t>
      </w:r>
      <w:r>
        <w:rPr>
          <w:rFonts w:ascii="Times New Roman" w:cs="Times New Roman" w:eastAsia="Times New Roman" w:hAnsi="Times New Roman"/>
          <w:sz w:val="18"/>
          <w:szCs w:val="18"/>
          <w:color w:val="auto"/>
        </w:rPr>
        <w:t>. The Company’s Annual Report on Form 10-K for the year ended December 31, 2021, current reports on Form 8-K and all other reports filed with the SEC, are available free of charge on the Investors page. The website is updated as soon as reasonably practical after such reports are filed electronically with the SEC.</w:t>
      </w:r>
    </w:p>
    <w:p>
      <w:pPr>
        <w:spacing w:after="0" w:line="2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Please refer to Note 1 “Summary of Significant Accounting Policies” of the Consolidated Financial Statements and “Management’s Discussion and Analysis of Financial Condition and Results of Operations–Critical Accounting Policies and Estimates” in our Annual Report on Form 10-K for the year ended December 31, 2021 for a more detailed discussion of our significant accounting policies and critical accounting estimates. There were no material changes to these critical accounting policies during the nine months ended September 30, 2022.</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Cyber-security Breach During Third Quarter 2022</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During the third quarter 2022, we experienced a cyber-security breach involving a single employee email account and which indirectly impacted two Mastech InfoTrellis clients. Our IT team identified the point of entry, decommissioned the affected laptop and email address, and changed email logins and passcodes for this email account. As a result of this incident, we engaged external advisors to validate our findings and remedial action steps. As part of this engagement, these advisors are assisting us with a forensic analysis to determine whether any personally identifiable information (“PII”) was compromised as a result of this breach. For any such PII data determined to have been compromised, these advisors will be assisting us in determining the appropriate compliance steps required with respect to that PII data. We have accrued a pre-tax loss reserve of $450,000 in the third quarter 2022 related to this event, which reserve includes the cost of engaging these external advisors and an estimate of other potential losses relating to the breach. This expense is included in selling, general and administrative expenses in the Condensed Consolidated Statements of Operations.</w:t>
      </w:r>
    </w:p>
    <w:p>
      <w:pPr>
        <w:spacing w:after="0" w:line="2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are a provider of Digital Transformation IT Services to mostly large and medium-sized organizations.</w:t>
      </w:r>
    </w:p>
    <w:p>
      <w:pPr>
        <w:spacing w:after="0" w:line="225"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Our portfolio of offerings includes data management and analytics services; other digital transformation services such as digital learning services; and IT staffing services.</w:t>
      </w:r>
    </w:p>
    <w:p>
      <w:pPr>
        <w:spacing w:after="0" w:line="162"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We operate in two reporting segments – Data and Analytics Services and IT Staffing Services. Our data and analytics services are marketed under the brand Mastech InfoTrellis and are delivered largely on a project basis with on-site and off-shore resources.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These data and analytics capabilities and expertise were acquired through our acquisition of InfoTrellis and enhanced and expanded subsequent to the acquisition. In October 2020, we acquired AmberLeaf Partners, Inc. (“AmberLeaf”), a Chicago-based customer experience consulting firm. This acquisition enhanced our capabilities in customer experience strategy and managed services offerings for a variety of Cloud-based enterprise applications across sales, marketing and customer services organizations. Our IT staffing business combines technical expertise with business process experience to deliver a broad range of staffing services in digital and mainstream technologies, as well as our other digital transformation services.</w:t>
      </w:r>
    </w:p>
    <w:p>
      <w:pPr>
        <w:spacing w:after="0" w:line="183" w:lineRule="exact"/>
        <w:rPr>
          <w:sz w:val="20"/>
          <w:szCs w:val="20"/>
          <w:color w:val="auto"/>
        </w:rPr>
      </w:pPr>
    </w:p>
    <w:p>
      <w:pPr>
        <w:ind w:left="120" w:right="160" w:firstLine="440"/>
        <w:spacing w:after="0" w:line="258" w:lineRule="auto"/>
        <w:rPr>
          <w:sz w:val="20"/>
          <w:szCs w:val="20"/>
          <w:color w:val="auto"/>
        </w:rPr>
      </w:pPr>
      <w:r>
        <w:rPr>
          <w:rFonts w:ascii="Times New Roman" w:cs="Times New Roman" w:eastAsia="Times New Roman" w:hAnsi="Times New Roman"/>
          <w:sz w:val="18"/>
          <w:szCs w:val="18"/>
          <w:color w:val="auto"/>
        </w:rPr>
        <w:t>Both business segments provide their services across various industry verticals, including: financial services; government; healthcare; manufacturing; retail; technology; telecommunications; and transportation. In our Data and Analytics Services segment, we evaluate our revenues and gross profits largely by service line. In our IT Staffing Services segment, we evaluate our revenues and gross profits largely by sales channel responsibility. This analysis within both our reporting segments is multi-purposed and includes technologies employed, client relationships, and geographic locations.</w:t>
      </w:r>
    </w:p>
    <w:p>
      <w:pPr>
        <w:spacing w:after="0" w:line="2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Data and Analytics:</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We provide information regarding our new bookings in our Data and Analytics Services segment, which represents the estimated value of client engagements, including those acquired through acquisitions, as well as renewals, extensions and changes to existing contracts, because we believe doing so provides useful trend information regarding changes in the volume of our new business over time. New bookings can vary significantly quarter to quarter depending in part on the timing of the signing of a small number of large engagements. Among other factors, the types of services and solutions to be delivered, the duration of the engagement and the pace and level of client spending impact the timing of the conversion of new bookings to revenues. In addition, substantially all of our contracts are terminable by the client on short notice with little or no termination penalties. Information regarding our new bookings is not comparable to, nor should it be substituted for, an analysis of our revenues over time. New bookings involve estimates and judgments. There are no third-party standards or requirements governing the calculation of bookings. We do not update our new bookings for material subsequent terminations or reductions related to bookings originally provided in prior periods.</w:t>
      </w:r>
    </w:p>
    <w:p>
      <w:pPr>
        <w:spacing w:after="0" w:line="2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Economic Trends and Outlook:</w:t>
      </w:r>
    </w:p>
    <w:p>
      <w:pPr>
        <w:spacing w:after="0" w:line="121" w:lineRule="exact"/>
        <w:rPr>
          <w:sz w:val="20"/>
          <w:szCs w:val="20"/>
          <w:color w:val="auto"/>
        </w:rPr>
      </w:pPr>
    </w:p>
    <w:p>
      <w:pPr>
        <w:ind w:left="120" w:right="40" w:firstLine="440"/>
        <w:spacing w:after="0" w:line="252" w:lineRule="auto"/>
        <w:rPr>
          <w:sz w:val="20"/>
          <w:szCs w:val="20"/>
          <w:color w:val="auto"/>
        </w:rPr>
      </w:pPr>
      <w:r>
        <w:rPr>
          <w:rFonts w:ascii="Times New Roman" w:cs="Times New Roman" w:eastAsia="Times New Roman" w:hAnsi="Times New Roman"/>
          <w:sz w:val="18"/>
          <w:szCs w:val="18"/>
          <w:color w:val="auto"/>
        </w:rPr>
        <w:t>Generally, our business outlook is highly correlated to general North American economic conditions. During periods of increasing employment and economic expansion, demand for our services tends to increase. Conversely, during periods of contracting employment and / or a slowing global economy, demand for our services tends to decline. As the economy slowed in 2007 and recessionary conditions emerged in 2008 and 2009, we experienced less demand for our IT staffing services. With economic expansion in 2010 through 2019, activity levels improved. However, as the recovery strengthened, we experience increased tightness in the supply-side (skilled IT professionals) of our businesses. These supply-side challenges pressured resource costs and to some extent gross margins. As we entered 2020, we were encouraged by continued growth in the domestic job markets and expanding U.S. and global economies. However, with the COVID-19 pandemic surfacing in the first quarter of 2020, we realized the economic growth would quickly turn into recessionary conditions, which had a material impact on activity levels in both of our business segments. This impact was reduced in 2021 as a result of the global roll-out of vaccination programs and signs of improving economic conditions. COVID-19 related concerns have been less impactful on our business in 2022. Still the proliferation of COVID-19 variants have caused some uncertainty and could continue to disrupt global markets during the fourth quarter of 2022 and into 2023. In addition, we are mindful of inflationary pressures and overall economic concerns regarding the potential for recessionary conditions in 2022 and beyond. We believe that fears regarding persistent inflation and a potential recession have impacted certain customers and their willingness to invest in long-term projects and it is difficult to predict the impact that these economic pressures might have on our business and results of operations in the future.</w:t>
      </w:r>
    </w:p>
    <w:p>
      <w:pPr>
        <w:spacing w:after="0" w:line="197"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In addition to tracking general economic conditions in the markets that we service, a large portion of our revenues is generated from a limited number of clients (see Item 1A, the Risk Factor entitled “Our revenues are highly concentrated, and the loss of a significant client would adversely affect our business and revenues” in our Annual Report on Form 10-K for the year ended December 31, 2021). Accordingly, our trends and outlook are additionally impacted by the prospects and well-being of these specific clients. This “account concentration” factor may result in our results of operations deviating from the prevailing economic trends from time to time.</w:t>
      </w:r>
    </w:p>
    <w:p>
      <w:pPr>
        <w:spacing w:after="0" w:line="183"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Within our IT Staffing Services segment, a larger portion of our revenues has come from strategic relationships with systems integrators and other staffing organizations. Additionally, many large end users of IT staffing services are employing managed service providers to manage their contractor spending. Both of these dynamics may pressure our IT staffing gross margins in the future.</w:t>
      </w:r>
    </w:p>
    <w:p>
      <w:pPr>
        <w:spacing w:after="0" w:line="176" w:lineRule="exact"/>
        <w:rPr>
          <w:sz w:val="20"/>
          <w:szCs w:val="20"/>
          <w:color w:val="auto"/>
        </w:rPr>
      </w:pPr>
    </w:p>
    <w:p>
      <w:pPr>
        <w:jc w:val="both"/>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Recent growth in advanced technologies (social, cloud, analytics, mobility, automation) is providing opportunities within our IT Staffing Services segment. However, supply side challenges have proven to be acute with respect to many of these technologies. We believe these challenges will remain during 2022 and into 2023.</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00"/>
          </w:cols>
          <w:pgMar w:left="320" w:top="482"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Within our Data and Analytics Services segment many customers are satisfying their D&amp;A needs using a holistic approach. This often results in the customer using one vendor partner rather than multiple vendors. We have responded to this trend by establishing a service offering called “Center of Excellence” which bundles a customer’s total requirements under a multi-year contract. This concept allows us to better understand the customer’s longer-term strategy with respect to D&amp;A and effectively address such needs.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Three Months Ended September 30, 2022 as Compared to the Three Months Ended September 30, 2021:</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Revenues for the three months ended September 30, 2022 totaled $63.2 million compared to $59.5 million for the corresponding three month period in 2021. This 6% year-over-year revenue increase reflected an 8% increase in our IT staffing services segment and a 4% decrease in our data and analytics services segment as compared to third quarter 2021. For the three months ended September 30, 2022, the Company had one client that had revenues in excess of 10% of total revenues (CGI = 23.7%). For the three months ended September 30, 2021, the Company had two clients that had revenues in excess of 10% of total revenues (CGI = 14.6% and Accenture = 10.4%). The Company’s top ten clients represented approximately 54% and 49% of total revenues for the three months ended September 30, 2022 and 2021, respectively.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revenues by reportable segment for the three months ended September 30, 2022 and 2021, respectively: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(Amounts in millions)</w:t>
            </w:r>
          </w:p>
        </w:tc>
        <w:tc>
          <w:tcPr>
            <w:tcW w:w="1440" w:type="dxa"/>
            <w:vAlign w:val="bottom"/>
            <w:vMerge w:val="restart"/>
          </w:tcPr>
          <w:p>
            <w:pPr>
              <w:spacing w:after="0"/>
              <w:rPr>
                <w:sz w:val="13"/>
                <w:szCs w:val="13"/>
                <w:color w:val="auto"/>
              </w:rPr>
            </w:pPr>
          </w:p>
        </w:tc>
        <w:tc>
          <w:tcPr>
            <w:tcW w:w="1360" w:type="dxa"/>
            <w:vAlign w:val="bottom"/>
          </w:tcPr>
          <w:p>
            <w:pPr>
              <w:spacing w:after="0"/>
              <w:rPr>
                <w:sz w:val="13"/>
                <w:szCs w:val="13"/>
                <w:color w:val="auto"/>
              </w:rPr>
            </w:pPr>
          </w:p>
        </w:tc>
        <w:tc>
          <w:tcPr>
            <w:tcW w:w="17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360" w:type="dxa"/>
            <w:vAlign w:val="bottom"/>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0"/>
        </w:trPr>
        <w:tc>
          <w:tcPr>
            <w:tcW w:w="1960" w:type="dxa"/>
            <w:vAlign w:val="bottom"/>
            <w:tcBorders>
              <w:bottom w:val="single" w:sz="8" w:color="auto"/>
            </w:tcBorders>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1360" w:type="dxa"/>
            <w:vAlign w:val="bottom"/>
          </w:tcPr>
          <w:p>
            <w:pPr>
              <w:spacing w:after="0"/>
              <w:rPr>
                <w:sz w:val="15"/>
                <w:szCs w:val="15"/>
                <w:color w:val="auto"/>
              </w:rPr>
            </w:pPr>
          </w:p>
        </w:tc>
        <w:tc>
          <w:tcPr>
            <w:tcW w:w="178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2022</w:t>
            </w:r>
          </w:p>
        </w:tc>
        <w:tc>
          <w:tcPr>
            <w:tcW w:w="460" w:type="dxa"/>
            <w:vAlign w:val="bottom"/>
          </w:tcPr>
          <w:p>
            <w:pPr>
              <w:spacing w:after="0"/>
              <w:rPr>
                <w:sz w:val="15"/>
                <w:szCs w:val="15"/>
                <w:color w:val="auto"/>
              </w:rPr>
            </w:pPr>
          </w:p>
        </w:tc>
        <w:tc>
          <w:tcPr>
            <w:tcW w:w="1360" w:type="dxa"/>
            <w:vAlign w:val="bottom"/>
            <w:gridSpan w:val="3"/>
          </w:tcPr>
          <w:p>
            <w:pPr>
              <w:ind w:left="6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203"/>
        </w:trPr>
        <w:tc>
          <w:tcPr>
            <w:tcW w:w="34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Data and Analytics Services</w:t>
            </w:r>
          </w:p>
        </w:tc>
        <w:tc>
          <w:tcPr>
            <w:tcW w:w="13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6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10.1</w:t>
            </w:r>
          </w:p>
        </w:tc>
        <w:tc>
          <w:tcPr>
            <w:tcW w:w="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ind w:right="362"/>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10.5</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13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4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90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63.2</w:t>
            </w:r>
          </w:p>
        </w:tc>
        <w:tc>
          <w:tcPr>
            <w:tcW w:w="1000" w:type="dxa"/>
            <w:vAlign w:val="bottom"/>
            <w:gridSpan w:val="2"/>
            <w:shd w:val="clear" w:color="auto" w:fill="CCEEFF"/>
          </w:tcPr>
          <w:p>
            <w:pPr>
              <w:jc w:val="right"/>
              <w:ind w:right="36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59.5</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Revenues from our Data and Analytics Services segment totaled $10.1 million in the quarter ended September 30, 2022, compared to</w:t>
      </w:r>
    </w:p>
    <w:p>
      <w:pPr>
        <w:spacing w:after="0" w:line="27" w:lineRule="exact"/>
        <w:rPr>
          <w:sz w:val="20"/>
          <w:szCs w:val="20"/>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$10.5 million in the corresponding quarter last year. This decline comes after a 26% year-over-year improvement during the previous quarter and largely reflected the timing of workable orders in second quarter 2022 versus third quarter 2022. New bookings in the third quarter of 2022 totaled approximately $8 million compared to $9 million in the corresponding quarter of 2021. The reduction in revenue and new bookings may also be attributable to reduced demand arising from customer concerns regarding a potential recession.</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Revenues from our IT Staffing Services segment totaled $53.1 million in the three months ended September 30, 2022 compared to $49.0 million during the corresponding 2021 period. This 8% increase largely reflected a higher average bill rate in the third quarter of 2022 when compared to the corresponding 2021 quarter. Our average bill rate increased to $81.60 per hour during the third quarter of 2022 compared to $75.51 per hour in the corresponding 2021 quarter. Billable consultant headcount at September 30, 2022 totaled 1,314-consultants essentially in-line with billable consultant headcount at September 30, 2021. During the third quarter 2022 we had a decline of 30 billable consultants as demand showed some weakness over the previous quarter. As described above, this reduced demand may be due in part to customer concerns regarding a potential recession. Permanent placement revenues were approximately $0.5 million during the current quarter, which were $0.2 million higher than permanent placement revenues of a year ago.</w:t>
      </w:r>
    </w:p>
    <w:p>
      <w:pPr>
        <w:spacing w:after="0" w:line="2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Gross Margins:</w:t>
      </w:r>
    </w:p>
    <w:p>
      <w:pPr>
        <w:spacing w:after="0" w:line="119"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Gross profits in the third quarter of 2022 totaled $16.3 million compared to $16.6 million in the third quarter of 2021. Gross profit as a percentage of revenue was 25.8% for the three-month period ended September 30, 2022 compared to 27.9% during the same period of 2021. This 210-basis point decline related to shortfalls in the Data and Analytics Services segment.</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gross margin by reporting segment for the three months ended September 30, 2022 and 2021, respectively: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2200" w:type="dxa"/>
            <w:vAlign w:val="bottom"/>
            <w:vMerge w:val="restart"/>
          </w:tcPr>
          <w:p>
            <w:pPr>
              <w:spacing w:after="0"/>
              <w:rPr>
                <w:sz w:val="13"/>
                <w:szCs w:val="13"/>
                <w:color w:val="auto"/>
              </w:rPr>
            </w:pPr>
          </w:p>
        </w:tc>
        <w:tc>
          <w:tcPr>
            <w:tcW w:w="1420" w:type="dxa"/>
            <w:vAlign w:val="bottom"/>
          </w:tcPr>
          <w:p>
            <w:pPr>
              <w:spacing w:after="0"/>
              <w:rPr>
                <w:sz w:val="13"/>
                <w:szCs w:val="13"/>
                <w:color w:val="auto"/>
              </w:rPr>
            </w:pPr>
          </w:p>
        </w:tc>
        <w:tc>
          <w:tcPr>
            <w:tcW w:w="2380" w:type="dxa"/>
            <w:vAlign w:val="bottom"/>
            <w:gridSpan w:val="2"/>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65"/>
        </w:trPr>
        <w:tc>
          <w:tcPr>
            <w:tcW w:w="860" w:type="dxa"/>
            <w:vAlign w:val="bottom"/>
            <w:tcBorders>
              <w:bottom w:val="single" w:sz="8" w:color="auto"/>
            </w:tcBorders>
            <w:vMerge w:val="continue"/>
          </w:tcPr>
          <w:p>
            <w:pPr>
              <w:spacing w:after="0"/>
              <w:rPr>
                <w:sz w:val="13"/>
                <w:szCs w:val="13"/>
                <w:color w:val="auto"/>
              </w:rPr>
            </w:pPr>
          </w:p>
        </w:tc>
        <w:tc>
          <w:tcPr>
            <w:tcW w:w="2200" w:type="dxa"/>
            <w:vAlign w:val="bottom"/>
            <w:vMerge w:val="continue"/>
          </w:tcPr>
          <w:p>
            <w:pPr>
              <w:spacing w:after="0"/>
              <w:rPr>
                <w:sz w:val="13"/>
                <w:szCs w:val="13"/>
                <w:color w:val="auto"/>
              </w:rPr>
            </w:pPr>
          </w:p>
        </w:tc>
        <w:tc>
          <w:tcPr>
            <w:tcW w:w="1420" w:type="dxa"/>
            <w:vAlign w:val="bottom"/>
          </w:tcPr>
          <w:p>
            <w:pPr>
              <w:spacing w:after="0"/>
              <w:rPr>
                <w:sz w:val="13"/>
                <w:szCs w:val="13"/>
                <w:color w:val="auto"/>
              </w:rPr>
            </w:pPr>
          </w:p>
        </w:tc>
        <w:tc>
          <w:tcPr>
            <w:tcW w:w="2380" w:type="dxa"/>
            <w:vAlign w:val="bottom"/>
            <w:gridSpan w:val="2"/>
          </w:tcPr>
          <w:p>
            <w:pPr>
              <w:jc w:val="center"/>
              <w:ind w:right="106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2022</w:t>
            </w:r>
          </w:p>
        </w:tc>
        <w:tc>
          <w:tcPr>
            <w:tcW w:w="1500" w:type="dxa"/>
            <w:vAlign w:val="bottom"/>
            <w:gridSpan w:val="2"/>
          </w:tcPr>
          <w:p>
            <w:pPr>
              <w:jc w:val="center"/>
              <w:ind w:right="18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20"/>
        </w:trPr>
        <w:tc>
          <w:tcPr>
            <w:tcW w:w="30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420" w:type="dxa"/>
            <w:vAlign w:val="bottom"/>
            <w:vMerge w:val="restart"/>
            <w:shd w:val="clear" w:color="auto" w:fill="CCEEFF"/>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60" w:type="dxa"/>
            <w:vAlign w:val="bottom"/>
            <w:gridSpan w:val="2"/>
            <w:vMerge w:val="continue"/>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2380" w:type="dxa"/>
            <w:vAlign w:val="bottom"/>
            <w:gridSpan w:val="2"/>
            <w:shd w:val="clear" w:color="auto" w:fill="CCEEFF"/>
          </w:tcPr>
          <w:p>
            <w:pPr>
              <w:ind w:left="1000"/>
              <w:spacing w:after="0" w:line="203" w:lineRule="exact"/>
              <w:rPr>
                <w:sz w:val="20"/>
                <w:szCs w:val="20"/>
                <w:color w:val="auto"/>
              </w:rPr>
            </w:pPr>
            <w:r>
              <w:rPr>
                <w:rFonts w:ascii="Times New Roman" w:cs="Times New Roman" w:eastAsia="Times New Roman" w:hAnsi="Times New Roman"/>
                <w:sz w:val="18"/>
                <w:szCs w:val="18"/>
                <w:color w:val="auto"/>
              </w:rPr>
              <w:t>39.6%</w:t>
            </w:r>
          </w:p>
        </w:tc>
        <w:tc>
          <w:tcPr>
            <w:tcW w:w="1500" w:type="dxa"/>
            <w:vAlign w:val="bottom"/>
            <w:gridSpan w:val="2"/>
            <w:shd w:val="clear" w:color="auto" w:fill="CCEEFF"/>
          </w:tcPr>
          <w:p>
            <w:pPr>
              <w:ind w:left="1000"/>
              <w:spacing w:after="0" w:line="203" w:lineRule="exact"/>
              <w:rPr>
                <w:sz w:val="20"/>
                <w:szCs w:val="20"/>
                <w:color w:val="auto"/>
              </w:rPr>
            </w:pPr>
            <w:r>
              <w:rPr>
                <w:rFonts w:ascii="Times New Roman" w:cs="Times New Roman" w:eastAsia="Times New Roman" w:hAnsi="Times New Roman"/>
                <w:sz w:val="18"/>
                <w:szCs w:val="18"/>
                <w:color w:val="auto"/>
              </w:rPr>
              <w:t>51.6%</w:t>
            </w: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1420" w:type="dxa"/>
            <w:vAlign w:val="bottom"/>
          </w:tcPr>
          <w:p>
            <w:pPr>
              <w:spacing w:after="0"/>
              <w:rPr>
                <w:sz w:val="18"/>
                <w:szCs w:val="18"/>
                <w:color w:val="auto"/>
              </w:rPr>
            </w:pPr>
          </w:p>
        </w:tc>
        <w:tc>
          <w:tcPr>
            <w:tcW w:w="1320" w:type="dxa"/>
            <w:vAlign w:val="bottom"/>
          </w:tcPr>
          <w:p>
            <w:pPr>
              <w:ind w:left="1000"/>
              <w:spacing w:after="0"/>
              <w:rPr>
                <w:sz w:val="20"/>
                <w:szCs w:val="20"/>
                <w:color w:val="auto"/>
              </w:rPr>
            </w:pPr>
            <w:r>
              <w:rPr>
                <w:rFonts w:ascii="Times New Roman" w:cs="Times New Roman" w:eastAsia="Times New Roman" w:hAnsi="Times New Roman"/>
                <w:sz w:val="18"/>
                <w:szCs w:val="18"/>
                <w:color w:val="auto"/>
                <w:w w:val="95"/>
              </w:rPr>
              <w:t>23.2</w:t>
            </w:r>
          </w:p>
        </w:tc>
        <w:tc>
          <w:tcPr>
            <w:tcW w:w="1060" w:type="dxa"/>
            <w:vAlign w:val="bottom"/>
          </w:tcPr>
          <w:p>
            <w:pPr>
              <w:spacing w:after="0"/>
              <w:rPr>
                <w:sz w:val="18"/>
                <w:szCs w:val="18"/>
                <w:color w:val="auto"/>
              </w:rPr>
            </w:pPr>
          </w:p>
        </w:tc>
        <w:tc>
          <w:tcPr>
            <w:tcW w:w="1500" w:type="dxa"/>
            <w:vAlign w:val="bottom"/>
            <w:gridSpan w:val="2"/>
          </w:tcPr>
          <w:p>
            <w:pPr>
              <w:ind w:left="1000"/>
              <w:spacing w:after="0"/>
              <w:rPr>
                <w:sz w:val="20"/>
                <w:szCs w:val="20"/>
                <w:color w:val="auto"/>
              </w:rPr>
            </w:pPr>
            <w:r>
              <w:rPr>
                <w:rFonts w:ascii="Times New Roman" w:cs="Times New Roman" w:eastAsia="Times New Roman" w:hAnsi="Times New Roman"/>
                <w:sz w:val="18"/>
                <w:szCs w:val="18"/>
                <w:color w:val="auto"/>
              </w:rPr>
              <w:t>22.8</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32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0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gross margin</w:t>
            </w:r>
          </w:p>
        </w:tc>
        <w:tc>
          <w:tcPr>
            <w:tcW w:w="1420" w:type="dxa"/>
            <w:vAlign w:val="bottom"/>
            <w:shd w:val="clear" w:color="auto" w:fill="CCEEFF"/>
          </w:tcPr>
          <w:p>
            <w:pPr>
              <w:spacing w:after="0"/>
              <w:rPr>
                <w:sz w:val="18"/>
                <w:szCs w:val="18"/>
                <w:color w:val="auto"/>
              </w:rPr>
            </w:pPr>
          </w:p>
        </w:tc>
        <w:tc>
          <w:tcPr>
            <w:tcW w:w="238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25.8%</w:t>
            </w:r>
          </w:p>
        </w:tc>
        <w:tc>
          <w:tcPr>
            <w:tcW w:w="1500" w:type="dxa"/>
            <w:vAlign w:val="bottom"/>
            <w:gridSpan w:val="2"/>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27.9%</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42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color w:val="auto"/>
              </w:rPr>
              <w:t>21</w:t>
            </w: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8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40" w:firstLine="440"/>
        <w:spacing w:after="0" w:line="289" w:lineRule="auto"/>
        <w:rPr>
          <w:sz w:val="20"/>
          <w:szCs w:val="20"/>
          <w:color w:val="auto"/>
        </w:rPr>
      </w:pPr>
      <w:r>
        <w:rPr>
          <w:rFonts w:ascii="Times New Roman" w:cs="Times New Roman" w:eastAsia="Times New Roman" w:hAnsi="Times New Roman"/>
          <w:sz w:val="17"/>
          <w:szCs w:val="17"/>
          <w:color w:val="auto"/>
        </w:rPr>
        <w:t>Gross margins from our Data and Analytics Services segment were 39.6% of revenues during the third quarter of 2022 compared to 51.6% of revenues during the third quarter of 2021. The margin decline reflected lower utilization as we were unable to fully deploy the second quarter ramp-up of billable resources. Additionally, we incurred a project cost over-run of $0.3 million on a fixed priced assignment scheduled to complete at year-end.</w:t>
      </w:r>
    </w:p>
    <w:p>
      <w:pPr>
        <w:spacing w:after="0" w:line="158"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Gross margins from our IT Staffing Services segment were 23.2% in the third quarter of 2022 compared to 22.8% during the corresponding quarter of 2021. This 40-basis point improvement was largely due to higher permanent placement fees and higher margins from our offshore staffing services offering.</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Below is a tabular presentation of operating expenses by expense category for the three months ended September 30, 2022 and 2021, respectively:</w:t>
      </w:r>
    </w:p>
    <w:p>
      <w:pPr>
        <w:spacing w:after="0" w:line="24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S,G&amp;A Expenses (Amounts in millions)</w:t>
            </w:r>
          </w:p>
        </w:tc>
        <w:tc>
          <w:tcPr>
            <w:tcW w:w="1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73"/>
        </w:trPr>
        <w:tc>
          <w:tcPr>
            <w:tcW w:w="4880" w:type="dxa"/>
            <w:vAlign w:val="bottom"/>
            <w:gridSpan w:val="3"/>
            <w:vMerge w:val="continue"/>
          </w:tcPr>
          <w:p>
            <w:pPr>
              <w:spacing w:after="0"/>
              <w:rPr>
                <w:sz w:val="15"/>
                <w:szCs w:val="15"/>
                <w:color w:val="auto"/>
              </w:rPr>
            </w:pPr>
          </w:p>
        </w:tc>
        <w:tc>
          <w:tcPr>
            <w:tcW w:w="172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400" w:type="dxa"/>
            <w:vAlign w:val="bottom"/>
          </w:tcPr>
          <w:p>
            <w:pPr>
              <w:spacing w:after="0"/>
              <w:rPr>
                <w:sz w:val="15"/>
                <w:szCs w:val="15"/>
                <w:color w:val="auto"/>
              </w:rPr>
            </w:pPr>
          </w:p>
        </w:tc>
        <w:tc>
          <w:tcPr>
            <w:tcW w:w="13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176"/>
        </w:trPr>
        <w:tc>
          <w:tcPr>
            <w:tcW w:w="2840" w:type="dxa"/>
            <w:vAlign w:val="bottom"/>
            <w:tcBorders>
              <w:top w:val="single" w:sz="8" w:color="CCEEFF"/>
              <w:bottom w:val="single" w:sz="8" w:color="auto"/>
            </w:tcBorders>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w w:val="98"/>
              </w:rPr>
              <w:t>Data and Analytics Services Segment</w:t>
            </w:r>
          </w:p>
        </w:tc>
        <w:tc>
          <w:tcPr>
            <w:tcW w:w="2040" w:type="dxa"/>
            <w:vAlign w:val="bottom"/>
            <w:tcBorders>
              <w:top w:val="single" w:sz="8" w:color="CCEEFF"/>
              <w:bottom w:val="single" w:sz="8" w:color="CCEEFF"/>
            </w:tcBorders>
            <w:shd w:val="clear" w:color="auto" w:fill="CCEEFF"/>
          </w:tcPr>
          <w:p>
            <w:pPr>
              <w:spacing w:after="0"/>
              <w:rPr>
                <w:sz w:val="15"/>
                <w:szCs w:val="15"/>
                <w:color w:val="auto"/>
              </w:rPr>
            </w:pPr>
          </w:p>
        </w:tc>
        <w:tc>
          <w:tcPr>
            <w:tcW w:w="540" w:type="dxa"/>
            <w:vAlign w:val="bottom"/>
            <w:tcBorders>
              <w:top w:val="single" w:sz="8" w:color="auto"/>
              <w:bottom w:val="single" w:sz="8" w:color="CCEEFF"/>
            </w:tcBorders>
            <w:shd w:val="clear" w:color="auto" w:fill="CCEEFF"/>
          </w:tcPr>
          <w:p>
            <w:pPr>
              <w:spacing w:after="0"/>
              <w:rPr>
                <w:sz w:val="15"/>
                <w:szCs w:val="15"/>
                <w:color w:val="auto"/>
              </w:rPr>
            </w:pPr>
          </w:p>
        </w:tc>
        <w:tc>
          <w:tcPr>
            <w:tcW w:w="780" w:type="dxa"/>
            <w:vAlign w:val="bottom"/>
            <w:tcBorders>
              <w:top w:val="single" w:sz="8" w:color="auto"/>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56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5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1.0</w:t>
            </w:r>
          </w:p>
        </w:tc>
        <w:tc>
          <w:tcPr>
            <w:tcW w:w="9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0.6</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5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0.6</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Reserve for Cyber-security Breach</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0.4</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Severance</w:t>
            </w:r>
          </w:p>
        </w:tc>
        <w:tc>
          <w:tcPr>
            <w:tcW w:w="5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0.1</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1.6</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48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Data and Analytics Services</w:t>
            </w:r>
          </w:p>
        </w:tc>
        <w:tc>
          <w:tcPr>
            <w:tcW w:w="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S,G&amp;A Expenses (Amounts in millions)</w:t>
            </w: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88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8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 Staffing Services Segment</w:t>
            </w:r>
          </w:p>
        </w:tc>
        <w:tc>
          <w:tcPr>
            <w:tcW w:w="5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660" w:type="dxa"/>
            <w:vAlign w:val="bottom"/>
            <w:tcBorders>
              <w:top w:val="single" w:sz="8" w:color="CCEEFF"/>
            </w:tcBorders>
            <w:gridSpan w:val="2"/>
          </w:tcPr>
          <w:p>
            <w:pPr>
              <w:spacing w:after="0"/>
              <w:rPr>
                <w:sz w:val="18"/>
                <w:szCs w:val="18"/>
                <w:color w:val="auto"/>
              </w:rPr>
            </w:pPr>
          </w:p>
        </w:tc>
        <w:tc>
          <w:tcPr>
            <w:tcW w:w="5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CCEEFF"/>
            </w:tcBorders>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2.4</w:t>
            </w:r>
          </w:p>
        </w:tc>
        <w:tc>
          <w:tcPr>
            <w:tcW w:w="960" w:type="dxa"/>
            <w:vAlign w:val="bottom"/>
            <w:tcBorders>
              <w:top w:val="single" w:sz="8" w:color="CCEEFF"/>
            </w:tcBorders>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2.7</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4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54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0.2</w:t>
            </w: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16"/>
        </w:trPr>
        <w:tc>
          <w:tcPr>
            <w:tcW w:w="48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5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3.3</w:t>
            </w:r>
          </w:p>
        </w:tc>
        <w:tc>
          <w:tcPr>
            <w:tcW w:w="4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48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IT Staffing Services</w:t>
            </w:r>
          </w:p>
        </w:tc>
        <w:tc>
          <w:tcPr>
            <w:tcW w:w="5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w:t>
            </w:r>
          </w:p>
        </w:tc>
        <w:tc>
          <w:tcPr>
            <w:tcW w:w="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S,G&amp;A Expenses</w:t>
            </w:r>
          </w:p>
        </w:tc>
        <w:tc>
          <w:tcPr>
            <w:tcW w:w="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12.9</w:t>
            </w:r>
          </w:p>
        </w:tc>
        <w:tc>
          <w:tcPr>
            <w:tcW w:w="9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11.6</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S,G&amp;A expenses for the three months ended September 30, 2022 totaled $12.9 million or 20.4% of total revenues, compared to $11.6 million or 19.5% of total revenues for the three-months ended September 30, 2021. Excluding the amortization of acquired intangible assets in both periods and reserves for severance and a cyber-security breach in the 2022 quarter, S,G&amp;A expense as a percentage of total revenues was 18.4% and 18.2%, respectively.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Fluctuations within S,G&amp;A expense components during the third quarter of 2022, compared to the third quarter of 2021, included the following:</w:t>
      </w:r>
    </w:p>
    <w:p>
      <w:pPr>
        <w:spacing w:after="0" w:line="131" w:lineRule="exact"/>
        <w:rPr>
          <w:sz w:val="20"/>
          <w:szCs w:val="20"/>
          <w:color w:val="auto"/>
        </w:rPr>
      </w:pPr>
    </w:p>
    <w:p>
      <w:pPr>
        <w:jc w:val="both"/>
        <w:ind w:left="1080" w:right="46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expense decreased by $0.1 million in the 2022 period compared to the corresponding 2021 period. Approximately $0.5 million related to our Data and Analytics Services segment, which reflected lower commissions and bonus accruals. Sales expense in our IT Staffing Services segment increased by $0.4 million due to higher staff and higher variable compensation.</w:t>
      </w:r>
    </w:p>
    <w:p>
      <w:pPr>
        <w:spacing w:after="0" w:line="81"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expense increased $0.3 million in the 2022 period compared to the corresponding 2021 period. Operations expenses were flat in our Data and Analytics Services segment. In our IT Staffing Services segment operations expenses increased by $0.3 million and reflected increases in recruitment staff and higher variable compensation expenses.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was $0.8 million in both the 2022 and 2021 periods.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 for a cyber-security breach totaled $0.4 million in the 2022 period versus zero in 2021.</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expense associated with the closure of operations in Singapore and Ireland, and the rationalization of our cost structure in the UK totaled $0.1 million in the 2022 period versus zero in 2021.</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00"/>
          </w:cols>
          <w:pgMar w:left="320" w:top="482" w:right="47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080" w:right="80" w:hanging="424"/>
        <w:spacing w:after="0" w:line="261"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increased by $0.6 million in the 2022 period compared to the corresponding 2021 period. General and administrative expense in our Data and Analytics Services segment increased by $0.1 million due to higher executive leadership compensation. In our IT Staffing Services segment, general and administrative expense increased by $0.5 million due to higher compensation expense and increases in travel and facility expenses.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 / (Expense) Components:</w:t>
      </w:r>
    </w:p>
    <w:p>
      <w:pPr>
        <w:spacing w:after="0" w:line="119" w:lineRule="exact"/>
        <w:rPr>
          <w:sz w:val="20"/>
          <w:szCs w:val="20"/>
          <w:color w:val="auto"/>
        </w:rPr>
      </w:pPr>
    </w:p>
    <w:p>
      <w:pPr>
        <w:ind w:left="120" w:right="20" w:firstLine="440"/>
        <w:spacing w:after="0" w:line="289" w:lineRule="auto"/>
        <w:rPr>
          <w:sz w:val="20"/>
          <w:szCs w:val="20"/>
          <w:color w:val="auto"/>
        </w:rPr>
      </w:pPr>
      <w:r>
        <w:rPr>
          <w:rFonts w:ascii="Times New Roman" w:cs="Times New Roman" w:eastAsia="Times New Roman" w:hAnsi="Times New Roman"/>
          <w:sz w:val="17"/>
          <w:szCs w:val="17"/>
          <w:color w:val="auto"/>
        </w:rPr>
        <w:t>Other Income / (Expense) for the three months ended September 30,2022 consisted of interest expense of ($85,000) and foreign exchange gains of $85,000. For the three months ended September 30, 2021, Other Income / (Expense) consisted of interest expense of ($169,000) and foreign exchange losses of ($66,000). Lower borrowings and a stronger U.S. dollar in the 2022 quarter were responsible for the favorable year-over-year variance.</w:t>
      </w:r>
    </w:p>
    <w:p>
      <w:pPr>
        <w:spacing w:after="0" w:line="2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Income tax expense for the three months ended September 30, 2022 totaled $1.0 million, representing an effective tax rate on pre-tax income of 28.3% compared to $1.3 million for the three months ended September 30, 20201 which represented a 28.1% effective tax rate on pre-tax income. The higher effective tax rate in the 2022 period largely reflected an increase in our valuation allowance related to foreign net operating losses (“NOL’s) in Singapore, Ireland and the UK.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 for the Nine Months Ended September 30, 2022 as Compared to the Nine Months Ended September 30, 2021:</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119"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Revenues for the nine months ended September 30, 2022 totaled $185.0 million compared to $163.0 million for the corresponding nine month period in 2021. This 13% year-over-year revenue increase reflected a 14% increase in our IT Staffing Services segment and an 11% increase in our Data and Analytics Services segment. For the nine months ended September 30, 2022, the Company had one client that had revenues in excess of 10% of total revenues (CGI = 21.3%). For the nine months ended September 30, 2021, the Company had the same one client that had revenues in excess of 10% of total revenues (CGI = 14.8%). The Company’s top ten clients represented approximately 53% and 48% of total revenues for the nine months ended September 30, 2022 and 2021, respectively.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revenues by reportable segment for the nine months ended September 30, 2022 and 2021, respectively: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1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Revenues (Amounts in millions)</w:t>
            </w:r>
          </w:p>
        </w:tc>
        <w:tc>
          <w:tcPr>
            <w:tcW w:w="1540" w:type="dxa"/>
            <w:vAlign w:val="bottom"/>
            <w:vMerge w:val="restart"/>
          </w:tcPr>
          <w:p>
            <w:pPr>
              <w:spacing w:after="0"/>
              <w:rPr>
                <w:sz w:val="13"/>
                <w:szCs w:val="13"/>
                <w:color w:val="auto"/>
              </w:rPr>
            </w:pPr>
          </w:p>
        </w:tc>
        <w:tc>
          <w:tcPr>
            <w:tcW w:w="1460" w:type="dxa"/>
            <w:vAlign w:val="bottom"/>
          </w:tcPr>
          <w:p>
            <w:pPr>
              <w:spacing w:after="0"/>
              <w:rPr>
                <w:sz w:val="13"/>
                <w:szCs w:val="13"/>
                <w:color w:val="auto"/>
              </w:rPr>
            </w:pPr>
          </w:p>
        </w:tc>
        <w:tc>
          <w:tcPr>
            <w:tcW w:w="2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0"/>
        </w:trPr>
        <w:tc>
          <w:tcPr>
            <w:tcW w:w="1960" w:type="dxa"/>
            <w:vAlign w:val="bottom"/>
            <w:tcBorders>
              <w:bottom w:val="single" w:sz="8" w:color="auto"/>
            </w:tcBorders>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460" w:type="dxa"/>
            <w:vAlign w:val="bottom"/>
          </w:tcPr>
          <w:p>
            <w:pPr>
              <w:spacing w:after="0"/>
              <w:rPr>
                <w:sz w:val="15"/>
                <w:szCs w:val="15"/>
                <w:color w:val="auto"/>
              </w:rPr>
            </w:pPr>
          </w:p>
        </w:tc>
        <w:tc>
          <w:tcPr>
            <w:tcW w:w="212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2022</w:t>
            </w:r>
          </w:p>
        </w:tc>
        <w:tc>
          <w:tcPr>
            <w:tcW w:w="128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203"/>
        </w:trPr>
        <w:tc>
          <w:tcPr>
            <w:tcW w:w="35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Data and Analytics Services</w:t>
            </w:r>
          </w:p>
        </w:tc>
        <w:tc>
          <w:tcPr>
            <w:tcW w:w="14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31.5</w:t>
            </w:r>
          </w:p>
        </w:tc>
        <w:tc>
          <w:tcPr>
            <w:tcW w:w="8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28.3</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14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153.5</w:t>
            </w:r>
          </w:p>
        </w:tc>
        <w:tc>
          <w:tcPr>
            <w:tcW w:w="88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920" w:type="dxa"/>
            <w:vAlign w:val="bottom"/>
            <w:gridSpan w:val="2"/>
            <w:shd w:val="clear" w:color="auto" w:fill="CCEEFF"/>
          </w:tcPr>
          <w:p>
            <w:pPr>
              <w:ind w:left="14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185.0</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163.0</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Revenues from our Data and Analytics Services segment totaled $31.5 million during the nine months ended September 30, 2022, compared to</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$28.3 million in the corresponding nine-month period last year. The 11% year-over-year improvement reflected improved backlog during the first half of</w:t>
      </w:r>
    </w:p>
    <w:p>
      <w:pPr>
        <w:spacing w:after="0" w:line="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2022.</w:t>
      </w:r>
    </w:p>
    <w:p>
      <w:pPr>
        <w:spacing w:after="0" w:line="207"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Revenues from our IT Staffing Services segment totaled $153.5 million in the nine months ended September 30, 2022 compared to $134.7 million during the corresponding 2021 period. This 14% increase reflected a higher level of billable consultants; a higher average bill rate; and higher permanent placement revenues in the 2022 period versus 2021.</w:t>
      </w:r>
    </w:p>
    <w:p>
      <w:pPr>
        <w:spacing w:after="0" w:line="2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Gross Margins:</w:t>
      </w:r>
    </w:p>
    <w:p>
      <w:pPr>
        <w:spacing w:after="0" w:line="119" w:lineRule="exact"/>
        <w:rPr>
          <w:sz w:val="20"/>
          <w:szCs w:val="20"/>
          <w:color w:val="auto"/>
        </w:rPr>
      </w:pPr>
    </w:p>
    <w:p>
      <w:pPr>
        <w:ind w:left="120" w:right="180" w:firstLine="440"/>
        <w:spacing w:after="0" w:line="289" w:lineRule="auto"/>
        <w:rPr>
          <w:sz w:val="20"/>
          <w:szCs w:val="20"/>
          <w:color w:val="auto"/>
        </w:rPr>
      </w:pPr>
      <w:r>
        <w:rPr>
          <w:rFonts w:ascii="Times New Roman" w:cs="Times New Roman" w:eastAsia="Times New Roman" w:hAnsi="Times New Roman"/>
          <w:sz w:val="17"/>
          <w:szCs w:val="17"/>
          <w:color w:val="auto"/>
        </w:rPr>
        <w:t>Gross profits in the nine months ended September 30, 2022 totaled $49.0 million, compared to $43.7 million during the corresponding 2021 period, an increase of $5.3 million. Gross profit as a percentage of revenue was 26.5% for the nine-month period ended September 30, 2022 compared to 26.8% during the same period of 2021. This 30-basis point decline reflected lower gross margins in the Data and Analytics Services segment.</w:t>
      </w:r>
    </w:p>
    <w:p>
      <w:pPr>
        <w:spacing w:after="0" w:line="9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gross margin by reporting segment for the nine months ended September 30, 2022 and 2021, respectively: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Gross Margin</w:t>
            </w:r>
          </w:p>
        </w:tc>
        <w:tc>
          <w:tcPr>
            <w:tcW w:w="3780" w:type="dxa"/>
            <w:vAlign w:val="bottom"/>
            <w:vMerge w:val="restart"/>
          </w:tcPr>
          <w:p>
            <w:pPr>
              <w:spacing w:after="0"/>
              <w:rPr>
                <w:sz w:val="13"/>
                <w:szCs w:val="13"/>
                <w:color w:val="auto"/>
              </w:rPr>
            </w:pPr>
          </w:p>
        </w:tc>
        <w:tc>
          <w:tcPr>
            <w:tcW w:w="2280" w:type="dxa"/>
            <w:vAlign w:val="bottom"/>
            <w:gridSpan w:val="2"/>
          </w:tcPr>
          <w:p>
            <w:pPr>
              <w:jc w:val="right"/>
              <w:ind w:right="10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65"/>
        </w:trPr>
        <w:tc>
          <w:tcPr>
            <w:tcW w:w="860" w:type="dxa"/>
            <w:vAlign w:val="bottom"/>
            <w:tcBorders>
              <w:bottom w:val="single" w:sz="8" w:color="auto"/>
            </w:tcBorders>
            <w:vMerge w:val="continue"/>
          </w:tcPr>
          <w:p>
            <w:pPr>
              <w:spacing w:after="0"/>
              <w:rPr>
                <w:sz w:val="13"/>
                <w:szCs w:val="13"/>
                <w:color w:val="auto"/>
              </w:rPr>
            </w:pPr>
          </w:p>
        </w:tc>
        <w:tc>
          <w:tcPr>
            <w:tcW w:w="3780" w:type="dxa"/>
            <w:vAlign w:val="bottom"/>
            <w:vMerge w:val="continue"/>
          </w:tcPr>
          <w:p>
            <w:pPr>
              <w:spacing w:after="0"/>
              <w:rPr>
                <w:sz w:val="13"/>
                <w:szCs w:val="13"/>
                <w:color w:val="auto"/>
              </w:rPr>
            </w:pPr>
          </w:p>
        </w:tc>
        <w:tc>
          <w:tcPr>
            <w:tcW w:w="2280" w:type="dxa"/>
            <w:vAlign w:val="bottom"/>
            <w:gridSpan w:val="2"/>
          </w:tcPr>
          <w:p>
            <w:pPr>
              <w:jc w:val="right"/>
              <w:ind w:right="106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2022</w:t>
            </w:r>
          </w:p>
        </w:tc>
        <w:tc>
          <w:tcPr>
            <w:tcW w:w="144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20"/>
        </w:trPr>
        <w:tc>
          <w:tcPr>
            <w:tcW w:w="46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Data and Analytics Services</w:t>
            </w:r>
          </w:p>
        </w:tc>
        <w:tc>
          <w:tcPr>
            <w:tcW w:w="1240" w:type="dxa"/>
            <w:vAlign w:val="bottom"/>
            <w:shd w:val="clear" w:color="auto" w:fill="000000"/>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40" w:type="dxa"/>
            <w:vAlign w:val="bottom"/>
            <w:gridSpan w:val="2"/>
            <w:vMerge w:val="continue"/>
            <w:shd w:val="clear" w:color="auto" w:fill="CCEEFF"/>
          </w:tcPr>
          <w:p>
            <w:pPr>
              <w:spacing w:after="0"/>
              <w:rPr>
                <w:sz w:val="17"/>
                <w:szCs w:val="17"/>
                <w:color w:val="auto"/>
              </w:rPr>
            </w:pPr>
          </w:p>
        </w:tc>
        <w:tc>
          <w:tcPr>
            <w:tcW w:w="2280" w:type="dxa"/>
            <w:vAlign w:val="bottom"/>
            <w:gridSpan w:val="2"/>
            <w:shd w:val="clear" w:color="auto" w:fill="CCEEFF"/>
          </w:tcPr>
          <w:p>
            <w:pPr>
              <w:jc w:val="right"/>
              <w:ind w:right="880"/>
              <w:spacing w:after="0" w:line="203" w:lineRule="exact"/>
              <w:rPr>
                <w:sz w:val="20"/>
                <w:szCs w:val="20"/>
                <w:color w:val="auto"/>
              </w:rPr>
            </w:pPr>
            <w:r>
              <w:rPr>
                <w:rFonts w:ascii="Times New Roman" w:cs="Times New Roman" w:eastAsia="Times New Roman" w:hAnsi="Times New Roman"/>
                <w:sz w:val="18"/>
                <w:szCs w:val="18"/>
                <w:color w:val="auto"/>
              </w:rPr>
              <w:t>42.8%</w:t>
            </w:r>
          </w:p>
        </w:tc>
        <w:tc>
          <w:tcPr>
            <w:tcW w:w="14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6"/>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Staffing Services</w:t>
            </w:r>
          </w:p>
        </w:tc>
        <w:tc>
          <w:tcPr>
            <w:tcW w:w="228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23.1%</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7"/>
        </w:trPr>
        <w:tc>
          <w:tcPr>
            <w:tcW w:w="860" w:type="dxa"/>
            <w:vAlign w:val="bottom"/>
          </w:tcPr>
          <w:p>
            <w:pPr>
              <w:spacing w:after="0"/>
              <w:rPr>
                <w:sz w:val="2"/>
                <w:szCs w:val="2"/>
                <w:color w:val="auto"/>
              </w:rPr>
            </w:pPr>
          </w:p>
        </w:tc>
        <w:tc>
          <w:tcPr>
            <w:tcW w:w="378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0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4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gross margin</w:t>
            </w:r>
          </w:p>
        </w:tc>
        <w:tc>
          <w:tcPr>
            <w:tcW w:w="22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26.5%</w:t>
            </w: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Gross margins from our Data and Analytics Services segment were 42.8% of revenues during the nine-month period ended September 30, 2022. This compared to gross margins of 48.2% in the corresponding period of 2021. The margin decline reflects lower utilization during the first nine months of 2022 and a project cost over-run in the third quarter of 2022.</w:t>
      </w:r>
    </w:p>
    <w:p>
      <w:pPr>
        <w:spacing w:after="0" w:line="176" w:lineRule="exact"/>
        <w:rPr>
          <w:sz w:val="20"/>
          <w:szCs w:val="20"/>
          <w:color w:val="auto"/>
        </w:rPr>
      </w:pPr>
    </w:p>
    <w:p>
      <w:pPr>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Gross margins from our IT Staffing Services segment were 23.1% in the nine months ended September 30, 2022 compared to 22.4% during the corresponding period of 2021. This 70-basis point expansion was due to higher gross margins on new assignments secured during the last several quarters; higher permanent placement revenues; and increased activity levels from our offshore staffing services offering.</w:t>
      </w:r>
    </w:p>
    <w:p>
      <w:pPr>
        <w:spacing w:after="0" w:line="2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(“S,G&amp;A”) Expenses: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Below is a tabular presentation of operating expenses by expense category for the nine months ended September 30, 2022 and 2021, respectively:</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S,G&amp;A Expenses (Amounts in millions)</w:t>
            </w:r>
          </w:p>
        </w:tc>
        <w:tc>
          <w:tcPr>
            <w:tcW w:w="900" w:type="dxa"/>
            <w:vAlign w:val="bottom"/>
          </w:tcPr>
          <w:p>
            <w:pPr>
              <w:spacing w:after="0"/>
              <w:rPr>
                <w:sz w:val="13"/>
                <w:szCs w:val="13"/>
                <w:color w:val="auto"/>
              </w:rPr>
            </w:pPr>
          </w:p>
        </w:tc>
        <w:tc>
          <w:tcPr>
            <w:tcW w:w="20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73"/>
        </w:trPr>
        <w:tc>
          <w:tcPr>
            <w:tcW w:w="4080" w:type="dxa"/>
            <w:vAlign w:val="bottom"/>
            <w:gridSpan w:val="3"/>
            <w:vMerge w:val="continue"/>
          </w:tcPr>
          <w:p>
            <w:pPr>
              <w:spacing w:after="0"/>
              <w:rPr>
                <w:sz w:val="15"/>
                <w:szCs w:val="15"/>
                <w:color w:val="auto"/>
              </w:rPr>
            </w:pPr>
          </w:p>
        </w:tc>
        <w:tc>
          <w:tcPr>
            <w:tcW w:w="900" w:type="dxa"/>
            <w:vAlign w:val="bottom"/>
          </w:tcPr>
          <w:p>
            <w:pPr>
              <w:spacing w:after="0"/>
              <w:rPr>
                <w:sz w:val="15"/>
                <w:szCs w:val="15"/>
                <w:color w:val="auto"/>
              </w:rPr>
            </w:pPr>
          </w:p>
        </w:tc>
        <w:tc>
          <w:tcPr>
            <w:tcW w:w="20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2021</w:t>
            </w:r>
          </w:p>
        </w:tc>
        <w:tc>
          <w:tcPr>
            <w:tcW w:w="0" w:type="dxa"/>
            <w:vAlign w:val="bottom"/>
          </w:tcPr>
          <w:p>
            <w:pPr>
              <w:spacing w:after="0"/>
              <w:rPr>
                <w:sz w:val="1"/>
                <w:szCs w:val="1"/>
                <w:color w:val="auto"/>
              </w:rPr>
            </w:pPr>
          </w:p>
        </w:tc>
      </w:tr>
      <w:tr>
        <w:trPr>
          <w:trHeight w:val="176"/>
        </w:trPr>
        <w:tc>
          <w:tcPr>
            <w:tcW w:w="4080" w:type="dxa"/>
            <w:vAlign w:val="bottom"/>
            <w:tcBorders>
              <w:top w:val="single" w:sz="8" w:color="CCEEFF"/>
            </w:tcBorders>
            <w:gridSpan w:val="3"/>
            <w:shd w:val="clear" w:color="auto" w:fill="CCEEFF"/>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Data and Analytics Services Segment</w:t>
            </w:r>
          </w:p>
        </w:tc>
        <w:tc>
          <w:tcPr>
            <w:tcW w:w="9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84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24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CCEEFF"/>
            </w:tcBorders>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4.7</w:t>
            </w:r>
          </w:p>
        </w:tc>
        <w:tc>
          <w:tcPr>
            <w:tcW w:w="5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6"/>
        </w:trPr>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1.9</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6"/>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1.8</w:t>
            </w:r>
          </w:p>
        </w:tc>
        <w:tc>
          <w:tcPr>
            <w:tcW w:w="5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Revaluation of Contingent Consideration</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Reserve for Cyber-security Breach</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0.4</w:t>
            </w:r>
          </w:p>
        </w:tc>
        <w:tc>
          <w:tcPr>
            <w:tcW w:w="5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Severance</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0.1</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4.4</w:t>
            </w:r>
          </w:p>
        </w:tc>
        <w:tc>
          <w:tcPr>
            <w:tcW w:w="5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7"/>
        </w:trPr>
        <w:tc>
          <w:tcPr>
            <w:tcW w:w="22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Data and Analytics Services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13.3</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408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S,G&amp;A Expenses (Amounts in millions)</w:t>
            </w:r>
          </w:p>
        </w:tc>
        <w:tc>
          <w:tcPr>
            <w:tcW w:w="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80" w:type="dxa"/>
            <w:vAlign w:val="bottom"/>
            <w:gridSpan w:val="3"/>
            <w:vMerge w:val="continue"/>
          </w:tcPr>
          <w:p>
            <w:pPr>
              <w:spacing w:after="0"/>
              <w:rPr>
                <w:sz w:val="24"/>
                <w:szCs w:val="24"/>
                <w:color w:val="auto"/>
              </w:rPr>
            </w:pPr>
          </w:p>
        </w:tc>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08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IT Staffing Services Segment</w:t>
            </w:r>
          </w:p>
        </w:tc>
        <w:tc>
          <w:tcPr>
            <w:tcW w:w="9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860" w:type="dxa"/>
            <w:vAlign w:val="bottom"/>
            <w:tcBorders>
              <w:top w:val="single" w:sz="8" w:color="CCEEFF"/>
            </w:tcBorders>
            <w:gridSpan w:val="2"/>
          </w:tcPr>
          <w:p>
            <w:pPr>
              <w:spacing w:after="0"/>
              <w:rPr>
                <w:sz w:val="18"/>
                <w:szCs w:val="18"/>
                <w:color w:val="auto"/>
              </w:rPr>
            </w:pPr>
          </w:p>
        </w:tc>
        <w:tc>
          <w:tcPr>
            <w:tcW w:w="1400" w:type="dxa"/>
            <w:vAlign w:val="bottom"/>
            <w:tcBorders>
              <w:top w:val="single" w:sz="8" w:color="CCEEFF"/>
            </w:tcBorders>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CCEEFF"/>
            </w:tcBorders>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7.3</w:t>
            </w:r>
          </w:p>
        </w:tc>
        <w:tc>
          <w:tcPr>
            <w:tcW w:w="5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216"/>
        </w:trPr>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Operations</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8.4</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4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40" w:type="dxa"/>
            <w:vAlign w:val="bottom"/>
            <w:gridSpan w:val="2"/>
          </w:tcPr>
          <w:p>
            <w:pPr>
              <w:jc w:val="right"/>
              <w:ind w:right="800"/>
              <w:spacing w:after="0"/>
              <w:rPr>
                <w:sz w:val="20"/>
                <w:szCs w:val="20"/>
                <w:color w:val="auto"/>
              </w:rPr>
            </w:pPr>
            <w:r>
              <w:rPr>
                <w:rFonts w:ascii="Times New Roman" w:cs="Times New Roman" w:eastAsia="Times New Roman" w:hAnsi="Times New Roman"/>
                <w:sz w:val="18"/>
                <w:szCs w:val="18"/>
                <w:color w:val="auto"/>
              </w:rPr>
              <w:t>0.6</w:t>
            </w:r>
          </w:p>
        </w:tc>
        <w:tc>
          <w:tcPr>
            <w:tcW w:w="5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16"/>
        </w:trPr>
        <w:tc>
          <w:tcPr>
            <w:tcW w:w="4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&amp; Administrative</w:t>
            </w:r>
          </w:p>
        </w:tc>
        <w:tc>
          <w:tcPr>
            <w:tcW w:w="9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9.2</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3"/>
        </w:trPr>
        <w:tc>
          <w:tcPr>
            <w:tcW w:w="4080" w:type="dxa"/>
            <w:vAlign w:val="bottom"/>
            <w:gridSpan w:val="3"/>
          </w:tcPr>
          <w:p>
            <w:pPr>
              <w:ind w:left="360"/>
              <w:spacing w:after="0"/>
              <w:rPr>
                <w:sz w:val="20"/>
                <w:szCs w:val="20"/>
                <w:color w:val="auto"/>
              </w:rPr>
            </w:pPr>
            <w:r>
              <w:rPr>
                <w:rFonts w:ascii="Times New Roman" w:cs="Times New Roman" w:eastAsia="Times New Roman" w:hAnsi="Times New Roman"/>
                <w:sz w:val="18"/>
                <w:szCs w:val="18"/>
                <w:b w:val="1"/>
                <w:bCs w:val="1"/>
                <w:color w:val="auto"/>
              </w:rPr>
              <w:t>Subtotal IT Staffing Services</w:t>
            </w:r>
          </w:p>
        </w:tc>
        <w:tc>
          <w:tcPr>
            <w:tcW w:w="90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0" w:type="dxa"/>
            <w:vAlign w:val="bottom"/>
          </w:tcPr>
          <w:p>
            <w:pPr>
              <w:spacing w:after="0"/>
              <w:rPr>
                <w:sz w:val="19"/>
                <w:szCs w:val="19"/>
                <w:color w:val="auto"/>
              </w:rPr>
            </w:pPr>
          </w:p>
        </w:tc>
        <w:tc>
          <w:tcPr>
            <w:tcW w:w="5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0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S,G&amp;A Expenses</w:t>
            </w:r>
          </w:p>
        </w:tc>
        <w:tc>
          <w:tcPr>
            <w:tcW w:w="140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gridSpan w:val="2"/>
            <w:shd w:val="clear" w:color="auto" w:fill="CCEEFF"/>
          </w:tcPr>
          <w:p>
            <w:pPr>
              <w:jc w:val="right"/>
              <w:ind w:right="800"/>
              <w:spacing w:after="0"/>
              <w:rPr>
                <w:sz w:val="20"/>
                <w:szCs w:val="20"/>
                <w:color w:val="auto"/>
              </w:rPr>
            </w:pPr>
            <w:r>
              <w:rPr>
                <w:rFonts w:ascii="Times New Roman" w:cs="Times New Roman" w:eastAsia="Times New Roman" w:hAnsi="Times New Roman"/>
                <w:sz w:val="18"/>
                <w:szCs w:val="18"/>
                <w:color w:val="auto"/>
              </w:rPr>
              <w:t>38.8</w:t>
            </w:r>
          </w:p>
        </w:tc>
        <w:tc>
          <w:tcPr>
            <w:tcW w:w="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140" w:firstLine="440"/>
        <w:spacing w:after="0" w:line="261" w:lineRule="auto"/>
        <w:rPr>
          <w:sz w:val="20"/>
          <w:szCs w:val="20"/>
          <w:color w:val="auto"/>
        </w:rPr>
      </w:pPr>
      <w:r>
        <w:rPr>
          <w:rFonts w:ascii="Times New Roman" w:cs="Times New Roman" w:eastAsia="Times New Roman" w:hAnsi="Times New Roman"/>
          <w:sz w:val="18"/>
          <w:szCs w:val="18"/>
          <w:color w:val="auto"/>
        </w:rPr>
        <w:t>S,G,&amp;A expenses for the nine months ended September 30, 2022 totaled $38.8 million or 21.0% of total revenues, compared to $31.6 million or 19.4% of total revenues for the nine months ended September 30, 2021. Excluding the revaluation of contingent consideration in the 2021 period, reserve for cyber-security breach and severance expense in the 2022 period and the amortization of acquired intangible assets in both periods, S,G,&amp;A expense as a percentage of total revenues was 19.4% and 19.1%, respectively.</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Fluctuations within S,G,&amp;A expense components during the first nine months of 2022, compared to the first nine months of 2021, included the following:</w:t>
      </w:r>
    </w:p>
    <w:p>
      <w:pPr>
        <w:spacing w:after="0" w:line="67" w:lineRule="exact"/>
        <w:rPr>
          <w:sz w:val="20"/>
          <w:szCs w:val="20"/>
          <w:color w:val="auto"/>
        </w:rPr>
      </w:pPr>
    </w:p>
    <w:p>
      <w:pPr>
        <w:ind w:left="1080" w:right="40" w:hanging="424"/>
        <w:spacing w:after="0" w:line="261"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expense increased by $1.6 million in the 2022 period compared to the corresponding 2021 period. Sales expense in our Data and Analytics Services segment was flat to 2021, reflecting accrual adjustments to variable compensation expense in the third quarter of 2022. Sales expense in our IT Staffing Services segment was higher by $1.6 million due to staff increases and higher variable compensation expense.</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82"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080" w:right="40" w:hanging="424"/>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Operations expense increased by $1.5 million in the 2022 period compared to the corresponding 2021 period. In our Data and Analytics Services segment operations expense decreased by $0.3 million due to lower staff. Operations expense in our IT Staffing Services segment increased by $1.8 million and largely related to increases in recruitment staff and higher other variable expenses to support revenue growth.</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acquired intangible assets was $2.4 million in both the 2022 and 2021 periods.</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Revaluation of contingent consideration totaled a credit of $2.0 million in the 2021 period and related to the AmberLeaf acquisition. No contingent consideration existed on the Company’s balance sheet in 2022.</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 for a cyber-security breach totaled $0.4 million in the 2022 period versus zero in 2021.</w:t>
      </w:r>
    </w:p>
    <w:p>
      <w:pPr>
        <w:spacing w:after="0" w:line="130"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expense associated with the closure of operations in Singapore and Ireland, and the rationalization of our cost structure in the UK totaled $0.1 million in the 2022 period versus zero in 2021.</w:t>
      </w:r>
    </w:p>
    <w:p>
      <w:pPr>
        <w:spacing w:after="0" w:line="67" w:lineRule="exact"/>
        <w:rPr>
          <w:rFonts w:ascii="Times New Roman" w:cs="Times New Roman" w:eastAsia="Times New Roman" w:hAnsi="Times New Roman"/>
          <w:sz w:val="18"/>
          <w:szCs w:val="18"/>
          <w:color w:val="auto"/>
        </w:rPr>
      </w:pPr>
    </w:p>
    <w:p>
      <w:pPr>
        <w:jc w:val="both"/>
        <w:ind w:left="1080" w:right="80" w:hanging="424"/>
        <w:spacing w:after="0" w:line="261"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and administrative expense increased by $1.6 million in the 2022 period compared to the corresponding 2021 period. General and administrative expense in our Data and Analytics Services segment increased by $0.6 million due to higher executive leadership staff and compensation increases. In our IT Staffing Services segment, general and administrative expense increased by $1.0 million due to higher compensation expense and increases in travel and facility expenses.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Other Income / (Expense) Components:</w:t>
      </w:r>
    </w:p>
    <w:p>
      <w:pPr>
        <w:spacing w:after="0" w:line="119" w:lineRule="exact"/>
        <w:rPr>
          <w:sz w:val="20"/>
          <w:szCs w:val="20"/>
          <w:color w:val="auto"/>
        </w:rPr>
      </w:pPr>
    </w:p>
    <w:p>
      <w:pPr>
        <w:ind w:left="120" w:right="120" w:firstLine="440"/>
        <w:spacing w:after="0" w:line="261" w:lineRule="auto"/>
        <w:rPr>
          <w:sz w:val="20"/>
          <w:szCs w:val="20"/>
          <w:color w:val="auto"/>
        </w:rPr>
      </w:pPr>
      <w:r>
        <w:rPr>
          <w:rFonts w:ascii="Times New Roman" w:cs="Times New Roman" w:eastAsia="Times New Roman" w:hAnsi="Times New Roman"/>
          <w:sz w:val="18"/>
          <w:szCs w:val="18"/>
          <w:color w:val="auto"/>
        </w:rPr>
        <w:t>Other Income / (Expense) for the nine months ended September 30, 2022 consisted of interest expense of ($326,000) and foreign exchange gains of $334,000. For the nine months ended September 30, 2021, Other Income / (Expense) consisted of interest expense of ($523,000) and foreign exchange losses of ($88,000). Lower borrowings and a stronger U.S. dollar in the 2022 period were responsible for the favorable year-over-year variance.</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Income Tax Expense:</w:t>
      </w:r>
    </w:p>
    <w:p>
      <w:pPr>
        <w:spacing w:after="0" w:line="119" w:lineRule="exact"/>
        <w:rPr>
          <w:sz w:val="20"/>
          <w:szCs w:val="20"/>
          <w:color w:val="auto"/>
        </w:rPr>
      </w:pPr>
    </w:p>
    <w:p>
      <w:pPr>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Income tax expense for the nine months ended September 30, 2022 totaled $3.0 million, representing an effective tax rate on pre-tax income of 29.8% compared to $3.2 million for the nine months ended September 30, 2021, which represented a 27.8% effective tax rate on pre-tax income. The higher effective tax rate in the 2022 period was largely due to an increase in our tax valuation allowance related to foreign net operating losses (“NOL’s) in Singapore, Ireland and the UK.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Financial Conditions and Liquidity:</w:t>
      </w:r>
    </w:p>
    <w:p>
      <w:pPr>
        <w:spacing w:after="0" w:line="119" w:lineRule="exact"/>
        <w:rPr>
          <w:sz w:val="20"/>
          <w:szCs w:val="20"/>
          <w:color w:val="auto"/>
        </w:rPr>
      </w:pPr>
    </w:p>
    <w:p>
      <w:pPr>
        <w:ind w:left="120" w:firstLine="440"/>
        <w:spacing w:after="0" w:line="289" w:lineRule="auto"/>
        <w:rPr>
          <w:sz w:val="20"/>
          <w:szCs w:val="20"/>
          <w:color w:val="auto"/>
        </w:rPr>
      </w:pPr>
      <w:r>
        <w:rPr>
          <w:rFonts w:ascii="Times New Roman" w:cs="Times New Roman" w:eastAsia="Times New Roman" w:hAnsi="Times New Roman"/>
          <w:sz w:val="17"/>
          <w:szCs w:val="17"/>
          <w:color w:val="auto"/>
        </w:rPr>
        <w:t>At September 30, 2022, we had cash balances on hand of $3.5 million and total bank debt of $2.2 million. During the third quarter of 2022 we prepaid $7.6 million of our outstanding term loan with excess cash balances. At quarter-end 2022, we had $36.4 million of borrowing capacity under our existing credit facility, excluding our term loan accordion feature which can provide us with additional term loan capacity of up to another $20 million.</w:t>
      </w:r>
    </w:p>
    <w:p>
      <w:pPr>
        <w:spacing w:after="0" w:line="158" w:lineRule="exact"/>
        <w:rPr>
          <w:sz w:val="20"/>
          <w:szCs w:val="20"/>
          <w:color w:val="auto"/>
        </w:rPr>
      </w:pPr>
    </w:p>
    <w:p>
      <w:pPr>
        <w:jc w:val="both"/>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Historically, we have funded our organic business needs with cash generated from operating activities. Controlling our operating working capital levels by closely managing our accounts receivable balance is an important element of cash generation. At September 30, 2022, our accounts receivable “days sales outstanding” (“DSOs”) measurement decreased by 1 day to 66-days from our June 30, 2022 measurement. This measurement is still on the high-end of our expectations.</w:t>
      </w:r>
    </w:p>
    <w:p>
      <w:pPr>
        <w:spacing w:after="0" w:line="180"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We believe that cash provided by operating activities, cash balances on hand and current availability under our credit facility will be adequate to fund our business needs and debt service obligations over the next twelve months, exclusive of any acquisition activity.</w:t>
      </w:r>
    </w:p>
    <w:p>
      <w:pPr>
        <w:spacing w:after="0" w:line="2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provided by (used in) operating activities:</w:t>
      </w:r>
    </w:p>
    <w:p>
      <w:pPr>
        <w:spacing w:after="0" w:line="119"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for the nine months ended September 30, 2022 totaled $7.7 million compared to cash provided by operating activities of $1.9 million during the nine months ended September 30, 2021. Elements of cash flows in the 2022 period were net income of $7.2 million, non-cash charges of $5.5 million, and an increase in operating working capital levels of ($5.0 million). During the nine months ended September 30, 2021, elements of cash flows were net income of $8.3 million, non-cash charges of $4.3 million and an increase in operating working capital levels of ($10.7 million). The operating working capital increase in both the 2022 and 2021 periods were largely in support of revenue growth.</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82"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Cash (used in) investing activities for the nine months ended September 30, 2022 was ($0.8 million) compared to ($1.0 million) for the nine months ended September 30, 2021. In 2022, capital expenditures essentially accounted for all investing activities. In 2021, capital expenditures and the payment of office lease deposits accounted for investing activities. Our 2022 capital expenditures largely related to system upgrades and the implementation of our Data and Analytics Services segment to our Oracle Cloud platform.</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Cash flows (used in) financing activities:</w:t>
      </w:r>
    </w:p>
    <w:p>
      <w:pPr>
        <w:spacing w:after="0" w:line="119" w:lineRule="exact"/>
        <w:rPr>
          <w:sz w:val="20"/>
          <w:szCs w:val="20"/>
          <w:color w:val="auto"/>
        </w:rPr>
      </w:pPr>
    </w:p>
    <w:p>
      <w:pPr>
        <w:ind w:left="120" w:right="80" w:firstLine="440"/>
        <w:spacing w:after="0" w:line="256" w:lineRule="auto"/>
        <w:rPr>
          <w:sz w:val="20"/>
          <w:szCs w:val="20"/>
          <w:color w:val="auto"/>
        </w:rPr>
      </w:pPr>
      <w:r>
        <w:rPr>
          <w:rFonts w:ascii="Times New Roman" w:cs="Times New Roman" w:eastAsia="Times New Roman" w:hAnsi="Times New Roman"/>
          <w:sz w:val="18"/>
          <w:szCs w:val="18"/>
          <w:color w:val="auto"/>
        </w:rPr>
        <w:t>Cash (used in) financing activities for the nine months ended September 30, 2022 totaled ($9.4 million) and consisted of ($10.9 million) of term loan repayments, partially offset by $1.5 million related to the issuance of common stock applicable to the Company’s employee stock purchase plan and the exercise of stock options. Cash (used in) financing activities for the nine months ended September 30, 2021 totaled ($3.0 million) and consisted of net ($3.3 million) of term loan repayments, partially offset by $0.3 million related to the issuance of common stock applicable to the Company’s employee stock purchase plan and the exercise of stock options. The repayments of term loan in the 2022 period included an early-payment of $7.6 million during the third quarter.</w:t>
      </w:r>
    </w:p>
    <w:p>
      <w:pPr>
        <w:spacing w:after="0" w:line="2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Off-Balance Sheet Arrangements: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do not have any off-balance sheet arrangements.</w:t>
      </w:r>
    </w:p>
    <w:p>
      <w:pPr>
        <w:spacing w:after="0" w:line="3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Inflation:</w:t>
      </w:r>
    </w:p>
    <w:p>
      <w:pPr>
        <w:spacing w:after="0" w:line="119"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do not believe that inflation had a significant impact on our results of operations for the periods presented except to the extent that it, combined with customer concerns regarding a potential recession, may have impacted demand for certain of our services. On an ongoing basis, we attempt to minimize any effects of inflation on our operating results by controlling operating costs and, whenever possible, seeking to ensure that billing rates are adjusted periodically to reflect increases in costs due to inflation. However, high levels of inflation may result in an increase in our selling, general and administrative expenses, as well as a higher interest rate environment.</w:t>
      </w:r>
    </w:p>
    <w:p>
      <w:pPr>
        <w:spacing w:after="0" w:line="2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119"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Our operations are generally not affected by seasonal fluctuations. However, our consultants’ billable hours are affected by national holidays and vacation policies. Accordingly, we generally have lower utilization rates and higher benefit costs during the fourth quarter. Additionally, assignment completions tend to be higher near the end of the calendar year, which largely impacts our revenue and gross profit performance during the subsequent quarter.</w:t>
      </w:r>
    </w:p>
    <w:p>
      <w:pPr>
        <w:spacing w:after="0" w:line="2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Recent accounting pronouncements are described in Note 16 to the accompanying financial statements.</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ind w:left="120" w:right="380" w:firstLine="440"/>
        <w:spacing w:after="0" w:line="282" w:lineRule="auto"/>
        <w:rPr>
          <w:sz w:val="20"/>
          <w:szCs w:val="20"/>
          <w:color w:val="auto"/>
        </w:rPr>
      </w:pPr>
      <w:r>
        <w:rPr>
          <w:rFonts w:ascii="Times New Roman" w:cs="Times New Roman" w:eastAsia="Times New Roman" w:hAnsi="Times New Roman"/>
          <w:sz w:val="18"/>
          <w:szCs w:val="18"/>
          <w:color w:val="auto"/>
        </w:rPr>
        <w:t>In addition to the inherent operational risks, the Company is exposed to certain market risks, primarily related to changes in interest rates and currency fluctuations.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Rates</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As of September 30, 2022, we had outstanding borrowings of $2.2 million under our Credit Agreement with PNC Bank and certain other financial institution lenders — Refer to Note 9 – “Credit Facility” in the Notes to Condensed Consolidated Financial Statements, included herein. A hypothetical 10% increase in interest rates on our variable debt outstanding at September 30, 2022 would have an increase in our annual interest expense of approximately $13,000. As of September 30, 2022, the Company has no interest-rate hedge vehicles outstanding.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Currency Fluctuations</w:t>
      </w:r>
    </w:p>
    <w:p>
      <w:pPr>
        <w:spacing w:after="0" w:line="121" w:lineRule="exact"/>
        <w:rPr>
          <w:sz w:val="20"/>
          <w:szCs w:val="20"/>
          <w:color w:val="auto"/>
        </w:rPr>
      </w:pPr>
    </w:p>
    <w:p>
      <w:pPr>
        <w:ind w:left="120" w:firstLine="440"/>
        <w:spacing w:after="0" w:line="272" w:lineRule="auto"/>
        <w:rPr>
          <w:sz w:val="20"/>
          <w:szCs w:val="20"/>
          <w:color w:val="auto"/>
        </w:rPr>
      </w:pPr>
      <w:r>
        <w:rPr>
          <w:rFonts w:ascii="Times New Roman" w:cs="Times New Roman" w:eastAsia="Times New Roman" w:hAnsi="Times New Roman"/>
          <w:sz w:val="17"/>
          <w:szCs w:val="17"/>
          <w:color w:val="auto"/>
        </w:rPr>
        <w:t>The reporting currency of the Company and its subsidiaries is the U.S. dollar. The functional currency of the Company’s subsidiary in Canada is the U.S. dollar because the majority of its revenue is denominated in U.S. dollars. The functional currencies of the Company’s Indian and European subsidiaries are the local currency of the location of such subsidiary. The results of operations of the Company’s Indian and European subsidiaries are translated at the monthly average exchange rates prevailing during the period. The financial position of the Company’s Indian and European subsidiaries is translated at the current exchange rates at the end of the period, and the related translation adjustments are recorded as a component of accumulated other comprehensive income (loss) within Shareholders’ Equity. Gains and losses resulting from foreign currency transactions are included as a component of other income (expense), net in the Consolidated Statements of Operations, and have not been material for all periods presented. A hypothetical 10% increase or decrease in overall foreign currency rates would not have had a material impact on our consolidated financial statements.</w:t>
      </w:r>
    </w:p>
    <w:p>
      <w:pPr>
        <w:sectPr>
          <w:pgSz w:w="11900" w:h="16838" w:orient="portrait"/>
          <w:cols w:equalWidth="0" w:num="1">
            <w:col w:w="11100"/>
          </w:cols>
          <w:pgMar w:left="320" w:top="482" w:right="479" w:bottom="1440" w:gutter="0" w:footer="0" w:header="0"/>
        </w:sectPr>
      </w:pPr>
    </w:p>
    <w:p>
      <w:pPr>
        <w:spacing w:after="0" w:line="10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00"/>
          </w:cols>
          <w:pgMar w:left="320" w:top="482" w:right="47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1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21" w:lineRule="exact"/>
        <w:rPr>
          <w:sz w:val="20"/>
          <w:szCs w:val="20"/>
          <w:color w:val="auto"/>
        </w:rPr>
      </w:pPr>
    </w:p>
    <w:p>
      <w:pPr>
        <w:ind w:left="120" w:right="20" w:firstLine="440"/>
        <w:spacing w:after="0" w:line="281" w:lineRule="auto"/>
        <w:rPr>
          <w:sz w:val="20"/>
          <w:szCs w:val="20"/>
          <w:color w:val="auto"/>
        </w:rPr>
      </w:pPr>
      <w:r>
        <w:rPr>
          <w:rFonts w:ascii="Times New Roman" w:cs="Times New Roman" w:eastAsia="Times New Roman" w:hAnsi="Times New Roman"/>
          <w:sz w:val="17"/>
          <w:szCs w:val="17"/>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w:t>
      </w:r>
    </w:p>
    <w:p>
      <w:pPr>
        <w:spacing w:after="0" w:line="164"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the Company carried out an evaluation, under the supervision and with the participation of Company management, including the Chief Executive Officer and the Chief Financial Officer, of the effectiveness of the design and operation of the Company’s disclosure controls and procedures pursuant to Exchange Act Rules 13a-15(b). Based upon that evaluation, the Chief Executive Officer and the Chief Financial Officer concluded that the Company’s disclosure controls and procedures were effective.</w:t>
      </w:r>
    </w:p>
    <w:p>
      <w:pPr>
        <w:spacing w:after="0" w:line="180" w:lineRule="exact"/>
        <w:rPr>
          <w:sz w:val="20"/>
          <w:szCs w:val="20"/>
          <w:color w:val="auto"/>
        </w:rPr>
      </w:pPr>
    </w:p>
    <w:p>
      <w:pPr>
        <w:ind w:left="120" w:right="60" w:firstLine="440"/>
        <w:spacing w:after="0" w:line="255" w:lineRule="auto"/>
        <w:rPr>
          <w:sz w:val="20"/>
          <w:szCs w:val="20"/>
          <w:color w:val="auto"/>
        </w:rPr>
      </w:pPr>
      <w:r>
        <w:rPr>
          <w:rFonts w:ascii="Times New Roman" w:cs="Times New Roman" w:eastAsia="Times New Roman" w:hAnsi="Times New Roman"/>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There were no changes in the Company’s internal control over financial reporting during the quarter ended September 30, 2022 that materially affected, or are reasonably likely to materially affect, our internal control over financial reporting.</w:t>
      </w:r>
    </w:p>
    <w:p>
      <w:pPr>
        <w:spacing w:after="0" w:line="37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In the ordinary course of our business, we are involved in a number of lawsuits and administrative proceedings. While uncertainties are inherent in the final outcome of these matters, management believes, after consultation with legal counsel, that the disposition of these proceedings should not have a material adverse effect on our financial position, results of operations or cash flows.</w:t>
      </w:r>
    </w:p>
    <w:p>
      <w:pPr>
        <w:spacing w:after="0" w:line="32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from the risk factors as previously disclosed in our Annual Report on Form 10-K for the year ended December 31, 2021, filed with the SEC on March 14, 2022.</w:t>
      </w:r>
    </w:p>
    <w:p>
      <w:pPr>
        <w:spacing w:after="0" w:line="30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20"/>
          </w:cols>
          <w:pgMar w:left="320" w:top="48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86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24"/>
        </w:trPr>
        <w:tc>
          <w:tcPr>
            <w:tcW w:w="10740" w:type="dxa"/>
            <w:vAlign w:val="bottom"/>
            <w:gridSpan w:val="7"/>
          </w:tcPr>
          <w:p>
            <w:pPr>
              <w:ind w:left="440"/>
              <w:spacing w:after="0"/>
              <w:rPr>
                <w:sz w:val="20"/>
                <w:szCs w:val="20"/>
                <w:color w:val="auto"/>
              </w:rPr>
            </w:pPr>
            <w:r>
              <w:rPr>
                <w:rFonts w:ascii="Times New Roman" w:cs="Times New Roman" w:eastAsia="Times New Roman" w:hAnsi="Times New Roman"/>
                <w:sz w:val="18"/>
                <w:szCs w:val="18"/>
                <w:color w:val="auto"/>
              </w:rPr>
              <w:t>(a) Exhibits</w:t>
            </w:r>
          </w:p>
        </w:tc>
      </w:tr>
      <w:tr>
        <w:trPr>
          <w:trHeight w:val="418"/>
        </w:trPr>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24"/>
                <w:szCs w:val="24"/>
                <w:color w:val="auto"/>
              </w:rPr>
            </w:pPr>
          </w:p>
        </w:tc>
        <w:tc>
          <w:tcPr>
            <w:tcW w:w="8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Certification pursuant to Section 302 of the Sarbanes-Oxley Act of 2002 by the Chief Executive Officer is filed herewith.</w:t>
            </w:r>
          </w:p>
        </w:tc>
        <w:tc>
          <w:tcPr>
            <w:tcW w:w="900" w:type="dxa"/>
            <w:vAlign w:val="bottom"/>
          </w:tcPr>
          <w:p>
            <w:pPr>
              <w:spacing w:after="0"/>
              <w:rPr>
                <w:sz w:val="24"/>
                <w:szCs w:val="24"/>
                <w:color w:val="auto"/>
              </w:rPr>
            </w:pPr>
          </w:p>
        </w:tc>
      </w:tr>
      <w:tr>
        <w:trPr>
          <w:trHeight w:val="304"/>
        </w:trPr>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31.2</w:t>
            </w:r>
          </w:p>
        </w:tc>
        <w:tc>
          <w:tcPr>
            <w:tcW w:w="220" w:type="dxa"/>
            <w:vAlign w:val="bottom"/>
          </w:tcPr>
          <w:p>
            <w:pPr>
              <w:spacing w:after="0"/>
              <w:rPr>
                <w:sz w:val="24"/>
                <w:szCs w:val="24"/>
                <w:color w:val="auto"/>
              </w:rPr>
            </w:pPr>
          </w:p>
        </w:tc>
        <w:tc>
          <w:tcPr>
            <w:tcW w:w="96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Certification pursuant to Section 302 of the Sarbanes-Oxley Act of 2002 by the Chief Financial Officer is filed herewith.</w:t>
            </w:r>
          </w:p>
        </w:tc>
      </w:tr>
      <w:tr>
        <w:trPr>
          <w:trHeight w:val="20"/>
        </w:trPr>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780" w:type="dxa"/>
            <w:vAlign w:val="bottom"/>
            <w:shd w:val="clear" w:color="auto" w:fill="0000EE"/>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r>
      <w:tr>
        <w:trPr>
          <w:trHeight w:val="304"/>
        </w:trPr>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32.1</w:t>
            </w:r>
          </w:p>
        </w:tc>
        <w:tc>
          <w:tcPr>
            <w:tcW w:w="220" w:type="dxa"/>
            <w:vAlign w:val="bottom"/>
          </w:tcPr>
          <w:p>
            <w:pPr>
              <w:spacing w:after="0"/>
              <w:rPr>
                <w:sz w:val="24"/>
                <w:szCs w:val="24"/>
                <w:color w:val="auto"/>
              </w:rPr>
            </w:pPr>
          </w:p>
        </w:tc>
        <w:tc>
          <w:tcPr>
            <w:tcW w:w="96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 by the Chief</w:t>
            </w: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9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Executive Officer is furnished herewith.</w:t>
            </w:r>
          </w:p>
        </w:tc>
        <w:tc>
          <w:tcPr>
            <w:tcW w:w="6740" w:type="dxa"/>
            <w:vAlign w:val="bottom"/>
            <w:gridSpan w:val="3"/>
          </w:tcPr>
          <w:p>
            <w:pPr>
              <w:spacing w:after="0"/>
              <w:rPr>
                <w:sz w:val="17"/>
                <w:szCs w:val="17"/>
                <w:color w:val="auto"/>
              </w:rPr>
            </w:pPr>
          </w:p>
        </w:tc>
      </w:tr>
      <w:tr>
        <w:trPr>
          <w:trHeight w:val="304"/>
        </w:trPr>
        <w:tc>
          <w:tcPr>
            <w:tcW w:w="8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32.2</w:t>
            </w:r>
          </w:p>
        </w:tc>
        <w:tc>
          <w:tcPr>
            <w:tcW w:w="220" w:type="dxa"/>
            <w:vAlign w:val="bottom"/>
          </w:tcPr>
          <w:p>
            <w:pPr>
              <w:spacing w:after="0"/>
              <w:rPr>
                <w:sz w:val="24"/>
                <w:szCs w:val="24"/>
                <w:color w:val="auto"/>
              </w:rPr>
            </w:pPr>
          </w:p>
        </w:tc>
        <w:tc>
          <w:tcPr>
            <w:tcW w:w="96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 pursuant to 18 U.S.C. Section 1350, as adopted pursuant to Section 906 of the Sarbanes-Oxley Act of 2002, by the Chief</w:t>
            </w:r>
          </w:p>
        </w:tc>
      </w:tr>
      <w:tr>
        <w:trPr>
          <w:trHeight w:val="196"/>
        </w:trPr>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4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Financial Officer is furnished herewith.</w:t>
            </w:r>
          </w:p>
        </w:tc>
      </w:tr>
      <w:tr>
        <w:trPr>
          <w:trHeight w:val="34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24"/>
                <w:szCs w:val="24"/>
                <w:color w:val="auto"/>
              </w:rPr>
            </w:pPr>
          </w:p>
        </w:tc>
        <w:tc>
          <w:tcPr>
            <w:tcW w:w="284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800" w:type="dxa"/>
            <w:vAlign w:val="bottom"/>
            <w:gridSpan w:val="4"/>
          </w:tcPr>
          <w:p>
            <w:pPr>
              <w:spacing w:after="0"/>
              <w:rPr>
                <w:sz w:val="24"/>
                <w:szCs w:val="24"/>
                <w:color w:val="auto"/>
              </w:rPr>
            </w:pP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24"/>
                <w:szCs w:val="24"/>
                <w:color w:val="auto"/>
              </w:rPr>
            </w:pPr>
          </w:p>
        </w:tc>
        <w:tc>
          <w:tcPr>
            <w:tcW w:w="9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24"/>
                <w:szCs w:val="24"/>
                <w:color w:val="auto"/>
              </w:rPr>
            </w:pPr>
          </w:p>
        </w:tc>
        <w:tc>
          <w:tcPr>
            <w:tcW w:w="9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24"/>
                <w:szCs w:val="24"/>
                <w:color w:val="auto"/>
              </w:rPr>
            </w:pPr>
          </w:p>
        </w:tc>
        <w:tc>
          <w:tcPr>
            <w:tcW w:w="9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24"/>
                <w:szCs w:val="24"/>
                <w:color w:val="auto"/>
              </w:rPr>
            </w:pPr>
          </w:p>
        </w:tc>
        <w:tc>
          <w:tcPr>
            <w:tcW w:w="9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2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24"/>
                <w:szCs w:val="24"/>
                <w:color w:val="auto"/>
              </w:rPr>
            </w:pPr>
          </w:p>
        </w:tc>
        <w:tc>
          <w:tcPr>
            <w:tcW w:w="96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90" w:lineRule="exact"/>
        <w:rPr>
          <w:sz w:val="20"/>
          <w:szCs w:val="20"/>
          <w:color w:val="auto"/>
        </w:rPr>
      </w:pPr>
    </w:p>
    <w:p>
      <w:pPr>
        <w:ind w:left="5540" w:right="3100" w:hanging="5424"/>
        <w:spacing w:after="0" w:line="454" w:lineRule="auto"/>
        <w:tabs>
          <w:tab w:leader="none" w:pos="122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28</w:t>
      </w:r>
    </w:p>
    <w:p>
      <w:pPr>
        <w:sectPr>
          <w:pgSz w:w="11900" w:h="16838" w:orient="portrait"/>
          <w:cols w:equalWidth="0" w:num="1">
            <w:col w:w="10860"/>
          </w:cols>
          <w:pgMar w:left="320" w:top="482" w:right="7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this 14th day of November, 2022.</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102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MASTECH DIGITAL, INC.</w:t>
            </w:r>
          </w:p>
        </w:tc>
      </w:tr>
      <w:tr>
        <w:trPr>
          <w:trHeight w:val="432"/>
        </w:trPr>
        <w:tc>
          <w:tcPr>
            <w:tcW w:w="7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November 14, 2022</w:t>
            </w:r>
          </w:p>
        </w:tc>
        <w:tc>
          <w:tcPr>
            <w:tcW w:w="3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VIVEK GUPTA</w:t>
            </w:r>
          </w:p>
        </w:tc>
      </w:tr>
      <w:tr>
        <w:trPr>
          <w:trHeight w:val="201"/>
        </w:trPr>
        <w:tc>
          <w:tcPr>
            <w:tcW w:w="5840" w:type="dxa"/>
            <w:vAlign w:val="bottom"/>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3580" w:type="dxa"/>
            <w:vAlign w:val="bottom"/>
            <w:tcBorders>
              <w:top w:val="single" w:sz="8" w:color="auto"/>
            </w:tcBorders>
          </w:tcPr>
          <w:p>
            <w:pPr>
              <w:jc w:val="center"/>
              <w:ind w:right="1510"/>
              <w:spacing w:after="0" w:line="201" w:lineRule="exact"/>
              <w:rPr>
                <w:sz w:val="20"/>
                <w:szCs w:val="20"/>
                <w:color w:val="auto"/>
              </w:rPr>
            </w:pPr>
            <w:r>
              <w:rPr>
                <w:rFonts w:ascii="Times New Roman" w:cs="Times New Roman" w:eastAsia="Times New Roman" w:hAnsi="Times New Roman"/>
                <w:sz w:val="18"/>
                <w:szCs w:val="18"/>
                <w:b w:val="1"/>
                <w:bCs w:val="1"/>
                <w:color w:val="auto"/>
                <w:w w:val="99"/>
              </w:rPr>
              <w:t>Vivek Gupta</w:t>
            </w:r>
          </w:p>
        </w:tc>
      </w:tr>
      <w:tr>
        <w:trPr>
          <w:trHeight w:val="238"/>
        </w:trPr>
        <w:tc>
          <w:tcPr>
            <w:tcW w:w="58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580" w:type="dxa"/>
            <w:vAlign w:val="bottom"/>
          </w:tcPr>
          <w:p>
            <w:pPr>
              <w:jc w:val="center"/>
              <w:ind w:right="151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445"/>
        </w:trPr>
        <w:tc>
          <w:tcPr>
            <w:tcW w:w="5840" w:type="dxa"/>
            <w:vAlign w:val="bottom"/>
          </w:tcPr>
          <w:p>
            <w:pPr>
              <w:spacing w:after="0"/>
              <w:rPr>
                <w:sz w:val="24"/>
                <w:szCs w:val="24"/>
                <w:color w:val="auto"/>
              </w:rPr>
            </w:pPr>
          </w:p>
        </w:tc>
        <w:tc>
          <w:tcPr>
            <w:tcW w:w="160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/s/</w:t>
            </w:r>
          </w:p>
        </w:tc>
        <w:tc>
          <w:tcPr>
            <w:tcW w:w="3580" w:type="dxa"/>
            <w:vAlign w:val="bottom"/>
          </w:tcPr>
          <w:p>
            <w:pPr>
              <w:jc w:val="center"/>
              <w:ind w:right="1530"/>
              <w:spacing w:after="0"/>
              <w:rPr>
                <w:sz w:val="20"/>
                <w:szCs w:val="20"/>
                <w:color w:val="auto"/>
              </w:rPr>
            </w:pPr>
            <w:r>
              <w:rPr>
                <w:rFonts w:ascii="Times New Roman" w:cs="Times New Roman" w:eastAsia="Times New Roman" w:hAnsi="Times New Roman"/>
                <w:sz w:val="18"/>
                <w:szCs w:val="18"/>
                <w:color w:val="auto"/>
                <w:w w:val="99"/>
              </w:rPr>
              <w:t>JOHN J. CRONIN, JR.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0</wp:posOffset>
            </wp:positionV>
            <wp:extent cx="32829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John J. Cronin, Jr.</w:t>
      </w:r>
    </w:p>
    <w:p>
      <w:pPr>
        <w:spacing w:after="0" w:line="31"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9" w:lineRule="exact"/>
        <w:rPr>
          <w:sz w:val="20"/>
          <w:szCs w:val="20"/>
          <w:color w:val="auto"/>
        </w:rPr>
      </w:pPr>
    </w:p>
    <w:p>
      <w:pPr>
        <w:jc w:val="center"/>
        <w:ind w:left="5840"/>
        <w:spacing w:after="0"/>
        <w:rPr>
          <w:sz w:val="20"/>
          <w:szCs w:val="20"/>
          <w:color w:val="auto"/>
        </w:rPr>
      </w:pPr>
      <w:r>
        <w:rPr>
          <w:rFonts w:ascii="Times New Roman" w:cs="Times New Roman" w:eastAsia="Times New Roman" w:hAnsi="Times New Roman"/>
          <w:sz w:val="18"/>
          <w:szCs w:val="18"/>
          <w:b w:val="1"/>
          <w:bCs w:val="1"/>
          <w:color w:val="auto"/>
        </w:rPr>
        <w:t>(Principal Financial Officer)</w:t>
      </w:r>
    </w:p>
    <w:p>
      <w:pPr>
        <w:spacing w:after="0" w:line="1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40"/>
          </w:cols>
          <w:pgMar w:left="320" w:top="482" w:right="4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ind w:left="1704"/>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 by Chief Executive Officer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Vivek Gupta, certify that:</w:t>
      </w:r>
    </w:p>
    <w:p>
      <w:pPr>
        <w:spacing w:after="0" w:line="131" w:lineRule="exact"/>
        <w:rPr>
          <w:sz w:val="20"/>
          <w:szCs w:val="20"/>
          <w:color w:val="auto"/>
        </w:rPr>
      </w:pPr>
    </w:p>
    <w:p>
      <w:pPr>
        <w:ind w:left="424" w:hanging="424"/>
        <w:spacing w:after="0"/>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Mastech Digital,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66"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60" w:hanging="532"/>
        <w:spacing w:after="0" w:line="266" w:lineRule="auto"/>
        <w:tabs>
          <w:tab w:leader="none" w:pos="96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25" w:lineRule="exact"/>
        <w:rPr>
          <w:sz w:val="20"/>
          <w:szCs w:val="20"/>
          <w:color w:val="auto"/>
        </w:rPr>
      </w:pPr>
    </w:p>
    <w:p>
      <w:pPr>
        <w:ind w:left="4"/>
        <w:spacing w:after="0"/>
        <w:tabs>
          <w:tab w:leader="none" w:pos="5924" w:val="left"/>
        </w:tabs>
        <w:rPr>
          <w:sz w:val="20"/>
          <w:szCs w:val="20"/>
          <w:color w:val="auto"/>
        </w:rPr>
      </w:pPr>
      <w:r>
        <w:rPr>
          <w:rFonts w:ascii="Times New Roman" w:cs="Times New Roman" w:eastAsia="Times New Roman" w:hAnsi="Times New Roman"/>
          <w:sz w:val="18"/>
          <w:szCs w:val="18"/>
          <w:color w:val="auto"/>
        </w:rPr>
        <w:t>Date: November 14, 2022</w:t>
      </w:r>
      <w:r>
        <w:rPr>
          <w:sz w:val="20"/>
          <w:szCs w:val="20"/>
          <w:color w:val="auto"/>
        </w:rPr>
        <w:tab/>
      </w:r>
      <w:r>
        <w:rPr>
          <w:rFonts w:ascii="Times New Roman" w:cs="Times New Roman" w:eastAsia="Times New Roman" w:hAnsi="Times New Roman"/>
          <w:sz w:val="17"/>
          <w:szCs w:val="17"/>
          <w:color w:val="auto"/>
        </w:rPr>
        <w:t>/S/ VIVEK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17145</wp:posOffset>
            </wp:positionV>
            <wp:extent cx="32143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2"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b w:val="1"/>
          <w:bCs w:val="1"/>
          <w:color w:val="auto"/>
        </w:rPr>
        <w:t>Vivek Gupta</w:t>
      </w:r>
    </w:p>
    <w:p>
      <w:pPr>
        <w:spacing w:after="0" w:line="31"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024"/>
          </w:cols>
          <w:pgMar w:left="436" w:top="117" w:right="4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ind w:left="1724"/>
        <w:spacing w:after="0"/>
        <w:rPr>
          <w:sz w:val="20"/>
          <w:szCs w:val="20"/>
          <w:color w:val="auto"/>
        </w:rPr>
      </w:pPr>
      <w:r>
        <w:rPr>
          <w:rFonts w:ascii="Times New Roman" w:cs="Times New Roman" w:eastAsia="Times New Roman" w:hAnsi="Times New Roman"/>
          <w:sz w:val="18"/>
          <w:szCs w:val="18"/>
          <w:b w:val="1"/>
          <w:bCs w:val="1"/>
          <w:color w:val="auto"/>
        </w:rPr>
        <w:t>Certification Pursuant to Section 302 of the Sarbanes-Oxley Act of 2002 by Chief Financial Officer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 John J. Cronin, Jr., certify that:</w:t>
      </w:r>
    </w:p>
    <w:p>
      <w:pPr>
        <w:spacing w:after="0" w:line="131" w:lineRule="exact"/>
        <w:rPr>
          <w:sz w:val="20"/>
          <w:szCs w:val="20"/>
          <w:color w:val="auto"/>
        </w:rPr>
      </w:pPr>
    </w:p>
    <w:p>
      <w:pPr>
        <w:ind w:left="424" w:hanging="424"/>
        <w:spacing w:after="0"/>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Mastech Digital, Inc.;</w:t>
      </w:r>
    </w:p>
    <w:p>
      <w:pPr>
        <w:spacing w:after="0" w:line="130" w:lineRule="exact"/>
        <w:rPr>
          <w:rFonts w:ascii="Times New Roman" w:cs="Times New Roman" w:eastAsia="Times New Roman" w:hAnsi="Times New Roman"/>
          <w:sz w:val="18"/>
          <w:szCs w:val="18"/>
          <w:color w:val="auto"/>
        </w:rPr>
      </w:pPr>
    </w:p>
    <w:p>
      <w:pPr>
        <w:jc w:val="both"/>
        <w:ind w:left="424" w:right="120" w:hanging="424"/>
        <w:spacing w:after="0" w:line="266"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424" w:right="80" w:hanging="424"/>
        <w:spacing w:after="0" w:line="282"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24" w:right="320" w:hanging="424"/>
        <w:spacing w:after="0" w:line="266"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1" w:lineRule="exact"/>
        <w:rPr>
          <w:rFonts w:ascii="Times New Roman" w:cs="Times New Roman" w:eastAsia="Times New Roman" w:hAnsi="Times New Roman"/>
          <w:sz w:val="18"/>
          <w:szCs w:val="18"/>
          <w:color w:val="auto"/>
        </w:rPr>
      </w:pPr>
    </w:p>
    <w:p>
      <w:pPr>
        <w:ind w:left="964" w:right="20" w:hanging="532"/>
        <w:spacing w:after="0" w:line="266" w:lineRule="auto"/>
        <w:tabs>
          <w:tab w:leader="none" w:pos="9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4" w:right="160" w:hanging="532"/>
        <w:spacing w:after="0" w:line="266" w:lineRule="auto"/>
        <w:tabs>
          <w:tab w:leader="none" w:pos="9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4" w:right="320" w:hanging="532"/>
        <w:spacing w:after="0" w:line="282" w:lineRule="auto"/>
        <w:tabs>
          <w:tab w:leader="none" w:pos="9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4" w:right="60" w:hanging="532"/>
        <w:spacing w:after="0" w:line="266" w:lineRule="auto"/>
        <w:tabs>
          <w:tab w:leader="none" w:pos="9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case of the annual report) that has materially affected, or is reasonably likely to materially affect, the registrant’s internal control over financial reporting; and</w:t>
      </w:r>
    </w:p>
    <w:p>
      <w:pPr>
        <w:spacing w:after="0" w:line="81" w:lineRule="exact"/>
        <w:rPr>
          <w:rFonts w:ascii="Times New Roman" w:cs="Times New Roman" w:eastAsia="Times New Roman" w:hAnsi="Times New Roman"/>
          <w:sz w:val="18"/>
          <w:szCs w:val="18"/>
          <w:color w:val="auto"/>
        </w:rPr>
      </w:pPr>
    </w:p>
    <w:p>
      <w:pPr>
        <w:ind w:left="424" w:right="20" w:hanging="424"/>
        <w:spacing w:after="0" w:line="282" w:lineRule="auto"/>
        <w:tabs>
          <w:tab w:leader="none" w:pos="42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964" w:right="560" w:hanging="532"/>
        <w:spacing w:after="0" w:line="282" w:lineRule="auto"/>
        <w:tabs>
          <w:tab w:leader="none" w:pos="9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4" w:right="260" w:hanging="532"/>
        <w:spacing w:after="0" w:line="282" w:lineRule="auto"/>
        <w:tabs>
          <w:tab w:leader="none" w:pos="964"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MASTECH DIGITAL, INC.</w:t>
      </w:r>
    </w:p>
    <w:p>
      <w:pPr>
        <w:spacing w:after="0" w:line="225" w:lineRule="exact"/>
        <w:rPr>
          <w:sz w:val="20"/>
          <w:szCs w:val="20"/>
          <w:color w:val="auto"/>
        </w:rPr>
      </w:pPr>
    </w:p>
    <w:p>
      <w:pPr>
        <w:ind w:left="4"/>
        <w:spacing w:after="0"/>
        <w:tabs>
          <w:tab w:leader="none" w:pos="5924" w:val="left"/>
        </w:tabs>
        <w:rPr>
          <w:sz w:val="20"/>
          <w:szCs w:val="20"/>
          <w:color w:val="auto"/>
        </w:rPr>
      </w:pPr>
      <w:r>
        <w:rPr>
          <w:rFonts w:ascii="Times New Roman" w:cs="Times New Roman" w:eastAsia="Times New Roman" w:hAnsi="Times New Roman"/>
          <w:sz w:val="18"/>
          <w:szCs w:val="18"/>
          <w:color w:val="auto"/>
        </w:rPr>
        <w:t>Date: November 14, 2022</w:t>
      </w:r>
      <w:r>
        <w:rPr>
          <w:sz w:val="20"/>
          <w:szCs w:val="20"/>
          <w:color w:val="auto"/>
        </w:rPr>
        <w:tab/>
      </w:r>
      <w:r>
        <w:rPr>
          <w:rFonts w:ascii="Times New Roman" w:cs="Times New Roman" w:eastAsia="Times New Roman" w:hAnsi="Times New Roman"/>
          <w:sz w:val="18"/>
          <w:szCs w:val="18"/>
          <w:color w:val="auto"/>
        </w:rPr>
        <w:t>/S/ JOHN J. CRONIN,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3780155</wp:posOffset>
            </wp:positionH>
            <wp:positionV relativeFrom="paragraph">
              <wp:posOffset>17145</wp:posOffset>
            </wp:positionV>
            <wp:extent cx="321437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2"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b w:val="1"/>
          <w:bCs w:val="1"/>
          <w:color w:val="auto"/>
        </w:rPr>
        <w:t>John J. Cronin, Jr.</w:t>
      </w:r>
    </w:p>
    <w:p>
      <w:pPr>
        <w:spacing w:after="0" w:line="31"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024"/>
          </w:cols>
          <w:pgMar w:left="436" w:top="117" w:right="4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Mastech Digital, Inc. (the “Company”) on Form 10-Q for the quarter ended September 30, 2022, as filed with the Securities and Exchange Commission on the date hereof (the “Report”), I, Vivek Gupta, Chief Executive Officer of the Company, certify, pursuant to 18 U.S.C. § 1350, as adopted pursuant to § 906 of the Sarbanes-Oxley Act of 2002, that, to my knowledge:</w:t>
      </w:r>
    </w:p>
    <w:p>
      <w:pPr>
        <w:spacing w:after="0" w:line="81" w:lineRule="exact"/>
        <w:rPr>
          <w:sz w:val="20"/>
          <w:szCs w:val="20"/>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VIVEK GUPTA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Vivek Gupta</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November 14, 2022</w:t>
      </w:r>
    </w:p>
    <w:p>
      <w:pPr>
        <w:sectPr>
          <w:pgSz w:w="11900" w:h="16838" w:orient="portrait"/>
          <w:cols w:equalWidth="0" w:num="1">
            <w:col w:w="11024"/>
          </w:cols>
          <w:pgMar w:left="436" w:top="117" w:right="4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Mastech Digital, Inc. (the “Company”) on Form 10-Q for the quarter ended September 30, 2022, as filed with the Securities and Exchange Commission on the date hereof (the “Report”), I, John J. Cronin, Jr. Chief Financial Officer of the Company, certify, pursuant to 18 U.S.C. § 1350, as adopted pursuant to § 906 of the Sarbanes-Oxley Act of 2002, that, to my knowledge:</w:t>
      </w:r>
    </w:p>
    <w:p>
      <w:pPr>
        <w:spacing w:after="0" w:line="81" w:lineRule="exact"/>
        <w:rPr>
          <w:sz w:val="20"/>
          <w:szCs w:val="20"/>
          <w:color w:val="auto"/>
        </w:rPr>
      </w:pPr>
    </w:p>
    <w:p>
      <w:pPr>
        <w:ind w:left="424" w:hanging="424"/>
        <w:spacing w:after="0"/>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5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 JOHN J. CRONIN,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27946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John J. Cronin, Jr.</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i w:val="1"/>
          <w:iCs w:val="1"/>
          <w:color w:val="auto"/>
        </w:rPr>
        <w:t>Chief Financial Officer</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Date: November 14, 2022</w:t>
      </w:r>
    </w:p>
    <w:sectPr>
      <w:pgSz w:w="11900" w:h="16838" w:orient="portrait"/>
      <w:cols w:equalWidth="0" w:num="1">
        <w:col w:w="11024"/>
      </w:cols>
      <w:pgMar w:left="436"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lowerLetter"/>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1."/>
      <w:numFmt w:val="decimal"/>
      <w:start w:val="2"/>
    </w:lvl>
  </w:abstractNum>
  <w:abstractNum w:abstractNumId="5">
    <w:nsid w:val="431BD7B7"/>
    <w:multiLevelType w:val="hybridMultilevel"/>
    <w:lvl w:ilvl="0">
      <w:lvlJc w:val="left"/>
      <w:lvlText w:val="%1."/>
      <w:numFmt w:val="decimal"/>
      <w:start w:val="3"/>
    </w:lvl>
  </w:abstractNum>
  <w:abstractNum w:abstractNumId="6">
    <w:nsid w:val="3F2DBA31"/>
    <w:multiLevelType w:val="hybridMultilevel"/>
    <w:lvl w:ilvl="0">
      <w:lvlJc w:val="left"/>
      <w:lvlText w:val="%1."/>
      <w:numFmt w:val="decimal"/>
      <w:start w:val="4"/>
    </w:lvl>
  </w:abstractNum>
  <w:abstractNum w:abstractNumId="7">
    <w:nsid w:val="7C83E458"/>
    <w:multiLevelType w:val="hybridMultilevel"/>
    <w:lvl w:ilvl="0">
      <w:lvlJc w:val="left"/>
      <w:lvlText w:val="%1."/>
      <w:numFmt w:val="decimal"/>
      <w:start w:val="5"/>
    </w:lvl>
  </w:abstractNum>
  <w:abstractNum w:abstractNumId="8">
    <w:nsid w:val="257130A3"/>
    <w:multiLevelType w:val="hybridMultilevel"/>
    <w:lvl w:ilvl="0">
      <w:lvlJc w:val="left"/>
      <w:lvlText w:val="%1."/>
      <w:numFmt w:val="decimal"/>
      <w:start w:val="6"/>
    </w:lvl>
  </w:abstractNum>
  <w:abstractNum w:abstractNumId="9">
    <w:nsid w:val="62BBD95A"/>
    <w:multiLevelType w:val="hybridMultilevel"/>
    <w:lvl w:ilvl="0">
      <w:lvlJc w:val="left"/>
      <w:lvlText w:val="%1."/>
      <w:numFmt w:val="decimal"/>
      <w:start w:val="7"/>
    </w:lvl>
  </w:abstractNum>
  <w:abstractNum w:abstractNumId="10">
    <w:nsid w:val="436C6125"/>
    <w:multiLevelType w:val="hybridMultilevel"/>
    <w:lvl w:ilvl="0">
      <w:lvlJc w:val="left"/>
      <w:lvlText w:val="%1."/>
      <w:numFmt w:val="decimal"/>
      <w:start w:val="8"/>
    </w:lvl>
  </w:abstractNum>
  <w:abstractNum w:abstractNumId="11">
    <w:nsid w:val="628C895D"/>
    <w:multiLevelType w:val="hybridMultilevel"/>
    <w:lvl w:ilvl="0">
      <w:lvlJc w:val="left"/>
      <w:lvlText w:val="%1."/>
      <w:numFmt w:val="decimal"/>
      <w:start w:val="9"/>
    </w:lvl>
  </w:abstractNum>
  <w:abstractNum w:abstractNumId="12">
    <w:nsid w:val="333AB105"/>
    <w:multiLevelType w:val="hybridMultilevel"/>
    <w:lvl w:ilvl="0">
      <w:lvlJc w:val="left"/>
      <w:lvlText w:val="%1."/>
      <w:numFmt w:val="decimal"/>
      <w:start w:val="10"/>
    </w:lvl>
  </w:abstractNum>
  <w:abstractNum w:abstractNumId="13">
    <w:nsid w:val="721DA317"/>
    <w:multiLevelType w:val="hybridMultilevel"/>
    <w:lvl w:ilvl="0">
      <w:lvlJc w:val="left"/>
      <w:lvlText w:val="%1."/>
      <w:numFmt w:val="decimal"/>
      <w:start w:val="11"/>
    </w:lvl>
  </w:abstractNum>
  <w:abstractNum w:abstractNumId="14">
    <w:nsid w:val="2443A858"/>
    <w:multiLevelType w:val="hybridMultilevel"/>
    <w:lvl w:ilvl="0">
      <w:lvlJc w:val="left"/>
      <w:lvlText w:val="%1."/>
      <w:numFmt w:val="decimal"/>
      <w:start w:val="12"/>
    </w:lvl>
  </w:abstractNum>
  <w:abstractNum w:abstractNumId="15">
    <w:nsid w:val="2D1D5AE9"/>
    <w:multiLevelType w:val="hybridMultilevel"/>
    <w:lvl w:ilvl="0">
      <w:lvlJc w:val="left"/>
      <w:lvlText w:val="•"/>
      <w:numFmt w:val="bullet"/>
      <w:start w:val="1"/>
    </w:lvl>
  </w:abstractNum>
  <w:abstractNum w:abstractNumId="16">
    <w:nsid w:val="6763845E"/>
    <w:multiLevelType w:val="hybridMultilevel"/>
    <w:lvl w:ilvl="0">
      <w:lvlJc w:val="left"/>
      <w:lvlText w:val="%1."/>
      <w:numFmt w:val="decimal"/>
      <w:start w:val="13"/>
    </w:lvl>
  </w:abstractNum>
  <w:abstractNum w:abstractNumId="17">
    <w:nsid w:val="75A2A8D4"/>
    <w:multiLevelType w:val="hybridMultilevel"/>
    <w:lvl w:ilvl="0">
      <w:lvlJc w:val="left"/>
      <w:lvlText w:val="%1."/>
      <w:numFmt w:val="decimal"/>
      <w:start w:val="14"/>
    </w:lvl>
  </w:abstractNum>
  <w:abstractNum w:abstractNumId="18">
    <w:nsid w:val="8EDBDAB"/>
    <w:multiLevelType w:val="hybridMultilevel"/>
    <w:lvl w:ilvl="0">
      <w:lvlJc w:val="left"/>
      <w:lvlText w:val="%1."/>
      <w:numFmt w:val="decimal"/>
      <w:start w:val="15"/>
    </w:lvl>
  </w:abstractNum>
  <w:abstractNum w:abstractNumId="19">
    <w:nsid w:val="79838CB2"/>
    <w:multiLevelType w:val="hybridMultilevel"/>
    <w:lvl w:ilvl="0">
      <w:lvlJc w:val="left"/>
      <w:lvlText w:val="%1."/>
      <w:numFmt w:val="decimal"/>
      <w:start w:val="16"/>
    </w:lvl>
  </w:abstractNum>
  <w:abstractNum w:abstractNumId="20">
    <w:nsid w:val="4353D0CD"/>
    <w:multiLevelType w:val="hybridMultilevel"/>
    <w:lvl w:ilvl="0">
      <w:lvlJc w:val="left"/>
      <w:lvlText w:val="%1."/>
      <w:numFmt w:val="decimal"/>
      <w:start w:val="17"/>
    </w:lvl>
  </w:abstractNum>
  <w:abstractNum w:abstractNumId="21">
    <w:nsid w:val="B03E0C6"/>
    <w:multiLevelType w:val="hybridMultilevel"/>
    <w:lvl w:ilvl="0">
      <w:lvlJc w:val="left"/>
      <w:lvlText w:val="•"/>
      <w:numFmt w:val="bullet"/>
      <w:start w:val="1"/>
    </w:lvl>
  </w:abstractNum>
  <w:abstractNum w:abstractNumId="22">
    <w:nsid w:val="189A769B"/>
    <w:multiLevelType w:val="hybridMultilevel"/>
    <w:lvl w:ilvl="0">
      <w:lvlJc w:val="left"/>
      <w:lvlText w:val="•"/>
      <w:numFmt w:val="bullet"/>
      <w:start w:val="1"/>
    </w:lvl>
  </w:abstractNum>
  <w:abstractNum w:abstractNumId="23">
    <w:nsid w:val="54E49EB4"/>
    <w:multiLevelType w:val="hybridMultilevel"/>
    <w:lvl w:ilvl="0">
      <w:lvlJc w:val="left"/>
      <w:lvlText w:val="•"/>
      <w:numFmt w:val="bullet"/>
      <w:start w:val="1"/>
    </w:lvl>
  </w:abstractNum>
  <w:abstractNum w:abstractNumId="24">
    <w:nsid w:val="71F32454"/>
    <w:multiLevelType w:val="hybridMultilevel"/>
    <w:lvl w:ilvl="0">
      <w:lvlJc w:val="left"/>
      <w:lvlText w:val="•"/>
      <w:numFmt w:val="bullet"/>
      <w:start w:val="1"/>
    </w:lvl>
  </w:abstractNum>
  <w:abstractNum w:abstractNumId="25">
    <w:nsid w:val="2CA88611"/>
    <w:multiLevelType w:val="hybridMultilevel"/>
    <w:lvl w:ilvl="0">
      <w:lvlJc w:val="left"/>
      <w:lvlText w:val="%1"/>
      <w:numFmt w:val="decimal"/>
      <w:start w:val="104"/>
    </w:lvl>
  </w:abstractNum>
  <w:abstractNum w:abstractNumId="26">
    <w:nsid w:val="836C40E"/>
    <w:multiLevelType w:val="hybridMultilevel"/>
    <w:lvl w:ilvl="0">
      <w:lvlJc w:val="left"/>
      <w:lvlText w:val="%1."/>
      <w:numFmt w:val="decimal"/>
      <w:start w:val="1"/>
    </w:lvl>
    <w:lvl w:ilvl="1">
      <w:lvlJc w:val="left"/>
      <w:lvlText w:val="(%2)"/>
      <w:numFmt w:val="lowerLetter"/>
      <w:start w:val="1"/>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1"/>
    </w:lvl>
  </w:abstractNum>
  <w:abstractNum w:abstractNumId="29">
    <w:nsid w:val="813864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2022-11-14T07:18:12Z</dcterms:created>
  <dcterms:modified xsi:type="dcterms:W3CDTF">2022-11-14T07:18:12Z</dcterms:modified>
</cp:coreProperties>
</file>