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21" w:lineRule="exact"/>
        <w:rPr>
          <w:sz w:val="24"/>
          <w:szCs w:val="24"/>
          <w:color w:val="auto"/>
        </w:rPr>
      </w:pPr>
    </w:p>
    <w:p>
      <w:pPr>
        <w:ind w:left="540" w:right="2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4"/>
                <w:szCs w:val="24"/>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3040" w:type="dxa"/>
            <w:vAlign w:val="bottom"/>
            <w:gridSpan w:val="2"/>
          </w:tcPr>
          <w:p>
            <w:pPr>
              <w:jc w:val="center"/>
              <w:ind w:right="1960"/>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40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p>
      <w:pPr>
        <w:spacing w:after="0" w:line="39" w:lineRule="exact"/>
        <w:rPr>
          <w:sz w:val="24"/>
          <w:szCs w:val="24"/>
          <w:color w:val="auto"/>
        </w:rPr>
      </w:pPr>
    </w:p>
    <w:p>
      <w:pPr>
        <w:ind w:left="120" w:right="2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1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left="120"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0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April 30, 2022 was 11,599,334.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2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540" w:type="dxa"/>
            <w:vAlign w:val="bottom"/>
            <w:gridSpan w:val="10"/>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2260" w:type="dxa"/>
            <w:vAlign w:val="bottom"/>
            <w:tcBorders>
              <w:bottom w:val="single" w:sz="8" w:color="0000EE"/>
            </w:tcBorders>
            <w:gridSpan w:val="11"/>
            <w:vMerge w:val="continue"/>
          </w:tcPr>
          <w:p>
            <w:pPr>
              <w:spacing w:after="0"/>
              <w:rPr>
                <w:sz w:val="13"/>
                <w:szCs w:val="13"/>
                <w:color w:val="auto"/>
              </w:rPr>
            </w:pPr>
          </w:p>
        </w:tc>
        <w:tc>
          <w:tcPr>
            <w:tcW w:w="754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8240" w:type="dxa"/>
            <w:vAlign w:val="bottom"/>
            <w:gridSpan w:val="1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EE"/>
              </w:rPr>
              <w:t>Condensed Consolidated Statements of Operations (Unaudited) for the Three Months Ended March 31, 2022 and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Condensed Consolidated Statements of Comprehensive Income (Unaudited) for the Three Months Ended March 31, 2022 and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EE"/>
              </w:rPr>
              <w:t>Condensed Consolidated Balance Sheets (Unaudited) as of March 31, 2022 and December 31,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Condensed Consolidated Statements of Shareholders’ Equity (Unaudited) as of March 31, 2022 and March 31,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EE"/>
              </w:rPr>
              <w:t>Condensed Consolidated Statements of Cash Flows (Unaudited) for the Three Months Ended March 31, 2022 and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0000EE"/>
              </w:rPr>
              <w:t>Notes to Condensed Consolidated Financial Statements (Unaudited)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9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9"/>
          </w:tcPr>
          <w:p>
            <w:pPr>
              <w:spacing w:after="0"/>
              <w:rPr>
                <w:sz w:val="24"/>
                <w:szCs w:val="24"/>
                <w:color w:val="auto"/>
              </w:rPr>
            </w:pPr>
          </w:p>
        </w:tc>
        <w:tc>
          <w:tcPr>
            <w:tcW w:w="546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00" w:type="dxa"/>
            <w:vAlign w:val="bottom"/>
            <w:gridSpan w:val="1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5240" w:type="dxa"/>
            <w:vAlign w:val="bottom"/>
            <w:gridSpan w:val="14"/>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59,755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43,823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36,971</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12,804</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10,935</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11,415</w:t>
            </w: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12,035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$ 2,332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on interest-rate swap contracts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net unrealized gain (loss)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9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taxes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$ 2,185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$375 in 2022 and $375 in 2021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34,153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53,905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32,510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18,760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116,776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113,702</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14,240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250,000,000 shares authorized and 13,233,767 shares issued as of March 31, 2022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13,112,202 shares issued as of December 31, 2021</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28,250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50,841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1,646,420 shares as of March 31, 2022 and as of December 31, 2021</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74,428</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116,776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81"/>
              </w:rPr>
              <w:t>(607)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2</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81"/>
              </w:rPr>
              <w:t>(754)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78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$ 26,231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69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$ 2,332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(used in)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(4,072)</w:t>
            </w: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9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9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9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9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16"/>
        </w:trPr>
        <w:tc>
          <w:tcPr>
            <w:tcW w:w="9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9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7,677</w:t>
            </w:r>
          </w:p>
        </w:tc>
      </w:tr>
      <w:tr>
        <w:trPr>
          <w:trHeight w:val="223"/>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$ 7,185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2022 AND 2021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right="6720" w:hanging="444"/>
        <w:spacing w:after="0" w:line="377" w:lineRule="auto"/>
        <w:tabs>
          <w:tab w:leader="none" w:pos="5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our 2017 acquisition of the services division of Canada-based InfoTrellis, Inc., we added specialized capabilities in delivering data and analytics services to our customers globally,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As we enter 2022, we are hopeful that COVID-19 related concerns will be less impactful on our business. The proliferation of COVID-19 variants, however, have caused some uncertainty and may continue to disrupt global markets during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2021, included in our Annual Report on Form 10-K filed with the SEC on March 14, 2022. Additionally, our operating results for the three months ended March 31, 2022, are not necessarily indicative of the results that can be expected for the year ending December 31, 2022 or for any other period.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three months ended March 31, 2022.</w:t>
      </w:r>
    </w:p>
    <w:p>
      <w:pPr>
        <w:sectPr>
          <w:pgSz w:w="11900" w:h="16838" w:orient="portrait"/>
          <w:cols w:equalWidth="0" w:num="1">
            <w:col w:w="11100"/>
          </w:cols>
          <w:pgMar w:left="320" w:top="482" w:right="47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00"/>
          </w:cols>
          <w:pgMar w:left="320" w:top="482"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06"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Data Engineering and Analytics, which can be delivered using onsite and offshore resources.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19"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8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3"/>
        </w:trPr>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2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60" w:type="dxa"/>
            <w:vAlign w:val="bottom"/>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2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0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196"/>
        </w:trPr>
        <w:tc>
          <w:tcPr>
            <w:tcW w:w="6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44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$ 49,399</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40,981</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$ 49,603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40,981</w:t>
            </w:r>
          </w:p>
        </w:tc>
        <w:tc>
          <w:tcPr>
            <w:tcW w:w="4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$ 59,755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49,775</w:t>
            </w:r>
          </w:p>
        </w:tc>
      </w:tr>
      <w:tr>
        <w:trPr>
          <w:trHeight w:val="20"/>
        </w:trPr>
        <w:tc>
          <w:tcPr>
            <w:tcW w:w="2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had one client (CGI =17.8%) that exceeded 10% of total revenues. For the three months ended March 31, 2021, the Company had the same one client (CGI = 15.0%) that exceeded 10% of total revenues.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Company’s top ten clients represented approximately 51% and 47% of total revenues for the three months ended March 31, 2022 and 2021,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700" w:type="dxa"/>
            <w:vAlign w:val="bottom"/>
            <w:gridSpan w:val="5"/>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$ 58,347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47,942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$ 59,755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49,775</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related to the InfoTrellis acquisition of $9.7 million. Goodwill related to our October 1, 2020, acquisition of AmberLeaf totaled $6.4 million.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March 31, 2022, and December 31, 2021:</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5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40" w:type="dxa"/>
            <w:vAlign w:val="bottom"/>
            <w:vMerge w:val="restart"/>
          </w:tcPr>
          <w:p>
            <w:pPr>
              <w:spacing w:after="0"/>
              <w:rPr>
                <w:sz w:val="10"/>
                <w:szCs w:val="10"/>
                <w:color w:val="auto"/>
              </w:rPr>
            </w:pPr>
          </w:p>
        </w:tc>
        <w:tc>
          <w:tcPr>
            <w:tcW w:w="13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80" w:type="dxa"/>
            <w:vAlign w:val="bottom"/>
          </w:tcPr>
          <w:p>
            <w:pPr>
              <w:spacing w:after="0"/>
              <w:rPr>
                <w:sz w:val="10"/>
                <w:szCs w:val="10"/>
                <w:color w:val="auto"/>
              </w:rPr>
            </w:pPr>
          </w:p>
        </w:tc>
        <w:tc>
          <w:tcPr>
            <w:tcW w:w="1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3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Period (In Years)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7,999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4,528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19,641</w:t>
            </w: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6,911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1,711</w:t>
            </w: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15,131</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40" w:type="dxa"/>
            <w:vAlign w:val="bottom"/>
            <w:vMerge w:val="restart"/>
          </w:tcPr>
          <w:p>
            <w:pPr>
              <w:jc w:val="right"/>
              <w:ind w:right="514"/>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40" w:type="dxa"/>
            <w:vAlign w:val="bottom"/>
            <w:vMerge w:val="restart"/>
          </w:tcPr>
          <w:p>
            <w:pPr>
              <w:spacing w:after="0"/>
              <w:rPr>
                <w:sz w:val="10"/>
                <w:szCs w:val="10"/>
                <w:color w:val="auto"/>
              </w:rPr>
            </w:pPr>
          </w:p>
        </w:tc>
        <w:tc>
          <w:tcPr>
            <w:tcW w:w="160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0"/>
                <w:szCs w:val="10"/>
                <w:color w:val="auto"/>
              </w:rPr>
            </w:pPr>
          </w:p>
        </w:tc>
        <w:tc>
          <w:tcPr>
            <w:tcW w:w="15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60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Period (In 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6,503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3"/>
        </w:trPr>
        <w:tc>
          <w:tcPr>
            <w:tcW w:w="4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14,339</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2022 and 2021 totaled $792,000 and $793,000, respectively, and is included in selling, general and administrative expenses in the Condensed Consolidated Statement of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2022 through 2026 is as follows:</w:t>
      </w:r>
    </w:p>
    <w:p>
      <w:pPr>
        <w:spacing w:after="0" w:line="151"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7620</wp:posOffset>
            </wp:positionV>
            <wp:extent cx="216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7800"/>
        <w:spacing w:after="0"/>
        <w:tabs>
          <w:tab w:leader="none" w:pos="8500" w:val="left"/>
          <w:tab w:leader="none" w:pos="9200" w:val="left"/>
          <w:tab w:leader="none" w:pos="9920" w:val="left"/>
          <w:tab w:leader="none" w:pos="10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-3175</wp:posOffset>
            </wp:positionV>
            <wp:extent cx="216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March 31, 2022, approximately 97,000 square feet of office space is utilized for our sales and recruiting offices, delivery centers, and corporate headquarters. All of our leases are classified as operating leases. The average initial lease term is four years. Several leases have an option to renew, at our sole discretion, for an additional term. Our present lease terms range from less than one year to 5 years with a weighted average of 3.8 years. Leases with an initial term of twelve months or less are not recorded on the balance sheet.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5,033</w:t>
            </w: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4,894</w:t>
            </w:r>
          </w:p>
        </w:tc>
      </w:tr>
      <w:tr>
        <w:trPr>
          <w:trHeight w:val="20"/>
        </w:trPr>
        <w:tc>
          <w:tcPr>
            <w:tcW w:w="5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3,677</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r>
      <w:tr>
        <w:trPr>
          <w:trHeight w:val="223"/>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8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42"/>
        </w:trPr>
        <w:tc>
          <w:tcPr>
            <w:tcW w:w="28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(For remainder of year)</w:t>
            </w:r>
          </w:p>
        </w:tc>
        <w:tc>
          <w:tcPr>
            <w:tcW w:w="39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r>
      <w:tr>
        <w:trPr>
          <w:trHeight w:val="364"/>
        </w:trPr>
        <w:tc>
          <w:tcPr>
            <w:tcW w:w="2880" w:type="dxa"/>
            <w:vAlign w:val="bottom"/>
          </w:tcPr>
          <w:p>
            <w:pPr>
              <w:spacing w:after="0"/>
              <w:rPr>
                <w:sz w:val="24"/>
                <w:szCs w:val="24"/>
                <w:color w:val="auto"/>
              </w:rPr>
            </w:pPr>
          </w:p>
        </w:tc>
        <w:tc>
          <w:tcPr>
            <w:tcW w:w="36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698"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6420" w:type="dxa"/>
            <w:vAlign w:val="bottom"/>
          </w:tcPr>
          <w:p>
            <w:pPr>
              <w:spacing w:after="0"/>
              <w:rPr>
                <w:sz w:val="15"/>
                <w:szCs w:val="15"/>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42"/>
        </w:trPr>
        <w:tc>
          <w:tcPr>
            <w:tcW w:w="642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4.0%.</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months ended March 31, 2022 and 2021 totaled $0.4 million and $0.4 million,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cash paid for lease liabilities for the three months ended March 31, 2022 and 2021 totaled $0.4 million and $0.4 million, respectively.</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New leases entered into during the three months ended March 31, 2022 and 2021 totaled $0.5 million and $0.3 million, respectively, and are considered non cash transactions.</w:t>
      </w:r>
    </w:p>
    <w:p>
      <w:pPr>
        <w:spacing w:after="0" w:line="30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Payroll Tax Liability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allowed under the Coronavirus Aid, Relief and Economic Security (CARES) Act, the Company elected to defer payment of the employer’s share of social security tax. As of March 31, 2022, and December 31, 2021, the balance of this liability is $2.3 million and $2.3 million, respectively. The Company is required to repay the $2.3 million by December 31, 2022, which is reflected as part of current liabilities under the caption accrued payroll and related costs.</w:t>
      </w:r>
    </w:p>
    <w:p>
      <w:pPr>
        <w:spacing w:after="0" w:line="324"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months ended March 31, 2022 and 2021.</w:t>
      </w:r>
    </w:p>
    <w:p>
      <w:pPr>
        <w:spacing w:after="0" w:line="324"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March 31, 2022, the Company granted 11,304 restricted share units and 400,000 stock options at a strike price of $18.41 under the Plan. During the three months ended March 31, 2021, the Company granted restricted share units of 11,955 and 270,000 stock options at an average strike price of $17.65. As of March 31, 2022 there were 244,000 shares available for grants under the Plan.</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2022 and 2021 was $526,000 and $621,000, respectively, and is included in selling, general and administrative expenses in the Condensed Consolidated Statements of Operations.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issued 90,933 and 29,739 shares, respectively, related to the grant of restricted share units and the exercise of stock options.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ectPr>
          <w:pgSz w:w="11900" w:h="16838" w:orient="portrait"/>
          <w:cols w:equalWidth="0" w:num="1">
            <w:col w:w="11060"/>
          </w:cols>
          <w:pgMar w:left="320" w:top="482" w:right="51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82" w:right="5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there were no shares issued under the Employee Stock Purchase Plan. As of March 31, 2022, there were 516,399 shares available for purchases under the Employee Stock Purchase Plan.</w:t>
      </w:r>
    </w:p>
    <w:p>
      <w:pPr>
        <w:spacing w:after="0" w:line="306"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8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are required to be repaid in consecutive quarterly installments through and including the maturity date of October 1, 2024. The principal amount of each quarterly installment payable on the Term Loan equals $1.1 million through and including the maturity date, with the maturity date payment equal to the outstanding amount of the loan on that date.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8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March 31, 2022, the Company was in compliance with all provisions under the facility.</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facility. Deferred financing costs of $348,000 and $366,000 (net of amortization) as of March 31, 2022, and December 31, 2021, respectively, are presented as reductions in long-term debt in the Company’s Consolidated Balance Sheets.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Company’s outstanding borrowings under the Revolver totaled $0 million and $0 million, respectively; and unused borrowing capacity available was approximately $35.5 million and $32.4 million, respectively. The Company’s outstanding borrowings under the term loan were $12.0 million and $13.1 million as of March 31, 2022 and December 31, 2021, respectively. Additionally, under the Term Loan agreement there is a mandatory repayment requirement related to excess cash flows (as defined in the Credit Agreement) generated in a given fiscal year. This provision takes effect in first quarter of 2023 should the Company senior leverage ratio exceeds 1.50x.</w:t>
      </w:r>
    </w:p>
    <w:p>
      <w:pPr>
        <w:spacing w:after="0" w:line="32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Financial Statements, consisted of the following for the three months ended March 31, 2022, and 2021:</w:t>
      </w:r>
    </w:p>
    <w:p>
      <w:pPr>
        <w:spacing w:after="0" w:line="155"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5"/>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36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3"/>
                <w:szCs w:val="13"/>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3,315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6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outside the United States, which generate revenues from non-US based clients. Additionally, these subsidiaries provide services to the Company’s U.S. parents. Accordingly, the Company allocates a portion of its income to these subsidiaries based on a “transfer pricing” model and reports such income as foreign in the above table.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 for income taxes, as shown in the accompanying Financial Statements, consisted of the following for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00"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5"/>
        </w:trPr>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3"/>
                <w:szCs w:val="13"/>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for income taxes for the three months ended March 31, 2022, and 2021 were as follows (amounts in thousands):</w:t>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from stock options/restricted shares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tax rate on foreign earnings/other</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82"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forecasts of future profitability; the duration of statutory carry-forward periods; and tax planning alternatives. As of March 31, 2022, our valuation allowance was comprised of balances within locations of Singapore and the United Kingdom. The valuation allowance balances at these locations totaled $394,000 and $311,000 as of March 31, 2022, and December 31, 2021, respectively, and reflect net operating losses which may not be realizable in the future.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Canadian subsidiary are currently under audit by Revenue Canada for the years 2018 and 2019.</w:t>
      </w:r>
    </w:p>
    <w:p>
      <w:pPr>
        <w:spacing w:after="0" w:line="370"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Risk Management</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Concurrent with the Company’s July 13, 2017 borrowings under its credit facility, the Company entered into a 44–month interest-rate swap to convert the debt’s variable interest rate to a fixed rate of interest. The swap contracts, which matured on April 1, 2021, were designated as cash flow hedging instruments and qualified as effective hedges at inception under ASC Topic 815, “Derivatives and Hedging”. These contracts were recognized on the balance sheet at fair value. The effective portion of the changes in fair value on these instruments was recorded in other comprehensive income (loss) and was reclassified into the Consolidated Statements of Operations as interest expense in the same period in which the underlying hedge transaction affected earnings. Because the interest-rate swap contracts matured, they had no value as of March 31, 2022, and December 31, 2021, therefore there is no balance reflected in the Consolidated Balance Sheets for these periods.</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There was no impact on the Consolidated Statements of Operations and Comprehensive Income (“OCI”) for the three months ended March 31, 2022. The effect of derivative instruments on the Consolidated Statements of Operations and OCI for the three months ended March 31, 2021 are as follows (in thousands):</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w:t>
            </w: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172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ASC Topic 815</w:t>
            </w:r>
          </w:p>
        </w:tc>
        <w:tc>
          <w:tcPr>
            <w:tcW w:w="1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7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7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780" w:type="dxa"/>
            <w:vAlign w:val="bottom"/>
          </w:tcPr>
          <w:p>
            <w:pPr>
              <w:spacing w:after="0"/>
              <w:rPr>
                <w:sz w:val="15"/>
                <w:szCs w:val="15"/>
                <w:color w:val="auto"/>
              </w:rPr>
            </w:pPr>
          </w:p>
        </w:tc>
        <w:tc>
          <w:tcPr>
            <w:tcW w:w="17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6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color w:val="auto"/>
              </w:rPr>
              <w:t>(Ineffective Portion/Amounts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left="706"/>
              <w:spacing w:after="0" w:line="149" w:lineRule="exact"/>
              <w:rPr>
                <w:sz w:val="20"/>
                <w:szCs w:val="20"/>
                <w:color w:val="auto"/>
              </w:rPr>
            </w:pPr>
            <w:r>
              <w:rPr>
                <w:rFonts w:ascii="Times New Roman" w:cs="Times New Roman" w:eastAsia="Times New Roman" w:hAnsi="Times New Roman"/>
                <w:sz w:val="14"/>
                <w:szCs w:val="14"/>
                <w:color w:val="auto"/>
              </w:rPr>
              <w:t>excluded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(Effective Portion)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(Effective Portion)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(Effective Portion)</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from effectiveness testing)</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Interest-Rate Swap Contracts</w:t>
            </w:r>
          </w:p>
        </w:tc>
        <w:tc>
          <w:tcPr>
            <w:tcW w:w="172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5" w:lineRule="exact"/>
        <w:rPr>
          <w:sz w:val="20"/>
          <w:szCs w:val="20"/>
          <w:color w:val="auto"/>
        </w:rPr>
      </w:pPr>
    </w:p>
    <w:p>
      <w:pPr>
        <w:ind w:left="1540" w:hanging="439"/>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observable quoted prices (unadjusted) in active markets for identical assets and liabilities.</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that are supported by little or no market activity.</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prior periods, the company carried interest-rate swap contracts and contingent consideration liabilities at fair value measured on a recurring basis. As of March 31, 2022, and December 31, 2021, the Company did not have any balances in the financial statements related to these items as the swap matured on April 1, 2021 and the contingent consideration was revalued to zero as of December 31, 2021.</w:t>
      </w:r>
    </w:p>
    <w:p>
      <w:pPr>
        <w:spacing w:after="0" w:line="320"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purchases shares to satisfy employee tax obligations related to its Stock Incentive Plan. During the three months ended March 31, 2022, and 2021, no purchases were made to satisfy employee tax obligations.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2022, there were 0 anti-dilutive stock options excluded from the computation of diluted earnings per share.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the three months ended March 31, 2021, there were 150,000 anti-dilutive stock options excluded from the computation of diluted earnings per share.</w:t>
      </w:r>
    </w:p>
    <w:p>
      <w:pPr>
        <w:spacing w:after="0" w:line="363"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7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$ 10,152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49,603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$ 59,755</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$ 49,775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w w:val="99"/>
              </w:rPr>
              <w:t>Below is a reconciliation of segment total assets to consolidated total assets: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2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57,571</w:t>
            </w:r>
          </w:p>
        </w:tc>
        <w:tc>
          <w:tcPr>
            <w:tcW w:w="4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56,634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59,205</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57,068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$ 116,776</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698"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p>
      <w:pPr>
        <w:spacing w:after="0" w:line="2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700" w:type="dxa"/>
            <w:vAlign w:val="bottom"/>
            <w:gridSpan w:val="5"/>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$ 58,347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47,942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$ 59,755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amendments in this ASU require annual disclosures to increase the transparency of government assistance received by a business entity including information about the nature of the government transactions, related accounting policy, the line items on the balance sheet and income statement that are affected, amounts applicable to each financial statement line item, and significant terms and conditions of the transactions, including commitments and contingencies. The amendments in this ASU are effective for annual periods beginning after December 15, 2021. We adopted this ASU on January 1, 2022, with no material impact on our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Early adoption is permitted. The Company does not expect this ASU to have a material impact on its financial statements.</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2021, included in our Annual Report on Form 10-K, filed with the Securities and Exchange Commission (“SEC”) on March 14, 2022.</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2021.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Company’s website is </w:t>
      </w:r>
      <w:r>
        <w:rPr>
          <w:rFonts w:ascii="Times New Roman" w:cs="Times New Roman" w:eastAsia="Times New Roman" w:hAnsi="Times New Roman"/>
          <w:sz w:val="18"/>
          <w:szCs w:val="18"/>
          <w:u w:val="single" w:color="auto"/>
          <w:color w:val="auto"/>
        </w:rPr>
        <w:t>www.mastechdigital.com</w:t>
      </w:r>
      <w:r>
        <w:rPr>
          <w:rFonts w:ascii="Times New Roman" w:cs="Times New Roman" w:eastAsia="Times New Roman" w:hAnsi="Times New Roman"/>
          <w:sz w:val="18"/>
          <w:szCs w:val="18"/>
          <w:color w:val="auto"/>
        </w:rPr>
        <w:t>. The Company’s Annual Report on Form 10-K for the year ended December 31, 2021,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three months ended March 31, 2022.</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This impact was reduced in 2021 as a result of the global roll-out of vaccination programs and signs of improving economic conditions. As we enter 2022, we are hopeful that COVID-19 related concerns will be less impactful on our business. The proliferation of COVID-19 variants, however, have caused some uncertainty and may continue to disrupt global markets during 2022. In addition, we are mindful of inflationary pressures and overall economic concerns regarding the potential for recessionary conditions.</w:t>
      </w:r>
    </w:p>
    <w:p>
      <w:pPr>
        <w:sectPr>
          <w:pgSz w:w="11900" w:h="16838" w:orient="portrait"/>
          <w:cols w:equalWidth="0" w:num="1">
            <w:col w:w="11100"/>
          </w:cols>
          <w:pgMar w:left="320" w:top="482" w:right="479" w:bottom="1440" w:gutter="0" w:footer="0" w:header="0"/>
        </w:sectPr>
      </w:pP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2021).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IT staffing gross margins in the future.</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during 2022.</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Within our Data and Analytics Services segment many customers are satisfying their D&amp;A needs using a holistic approach. This often results in the customer using one vendor partner rather than with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D&amp;A and effectively address such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2022 as Compared to the Three Months Ended March 31, 2021: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Revenues for the three months ended March 31, 2022 totaled $59.8 million compared to $49.8 million for the corresponding three-month period in</w:t>
      </w:r>
    </w:p>
    <w:p>
      <w:pPr>
        <w:spacing w:after="0" w:line="3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2021. This 20% year-over-year revenue increase reflected 15% growth in our Data and Analytics Services segment and a 21% increase in our IT Staffing Services segment. For the three months ended March 31, 2022, the Company had one client that had revenues in excess of 10% of total revenues (CGI = 17.8%). For the three months ended March 31, 2021, the Company had one client that had revenues in excess of 10% of total revenues (CGI = 15.0%). The Company’s top ten clients represented approximately 52% and 47% of total revenues for the three months ended March 31, 2022 and 2021,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March 31,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thousands)</w:t>
            </w:r>
          </w:p>
        </w:tc>
        <w:tc>
          <w:tcPr>
            <w:tcW w:w="2740" w:type="dxa"/>
            <w:vAlign w:val="bottom"/>
          </w:tcPr>
          <w:p>
            <w:pPr>
              <w:spacing w:after="0"/>
              <w:rPr>
                <w:sz w:val="13"/>
                <w:szCs w:val="13"/>
                <w:color w:val="auto"/>
              </w:rPr>
            </w:pPr>
          </w:p>
        </w:tc>
        <w:tc>
          <w:tcPr>
            <w:tcW w:w="17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2100" w:type="dxa"/>
            <w:vAlign w:val="bottom"/>
            <w:tcBorders>
              <w:bottom w:val="single" w:sz="8" w:color="auto"/>
            </w:tcBorders>
            <w:vMerge w:val="continue"/>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2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10,152</w:t>
            </w: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49,603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40,981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59,755</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49,775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Revenues from our Data and Analytics Services segment totaled $10.2 million in the quarter ending March 31, 2022, compared to $8.8 million in the corresponding period last year. The year-over-year improvement largely reflected improved backlog in the 2022 period. Bookings in first quarter 2022 totaled $11.8 million compared to first quarter 2021 bookings of $15.8 million. The 2021 quarter included several booking orders that included multi-year durations.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Revenues from our IT Staffing Services segment totaled $49.6 million in the three months ended March 31, 2022 compared to $41.0 million during the corresponding 2021 period. This 21% revenue increase reflected a higher level of billing consultants in the 2022 quarter versus 2021. Billing consultants at March 31, 2021 totaled 1,295-consultants compared to 1,162-consultants at March 31, 2021. Our average bill rate in the first quarter of 2022 for the segment was $78.99 / per hour compared to $75.12 / per hour in the first quarter of 2021. The increase in average bill rate was due to higher rates on new assignments and is reflective of the types of skill-sets that we deployed. Permanent placement / fee revenues were approximately $0.6 million during the quarter, which was $0.4 million higher than our permanent placement performance of a year ago.</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Gross profits in the first quarter of 2022 totaled $15.9 million compared to gross profits of $12.8 million in the first quarter of 2021, a 24% year-over-year increase. Gross profit as a percentage of revenue was 26.7% for the three-month period ending March 31, 2022, compared to 25.7% during the same period of 2021. This 100-basis point improvement reflected higher revenue levels in our high-margin Data and Analytics Services segment and improved gross margins in our IT Staffing Services segment due to higher permanent placement fees and revenues from our offshore staffing service offering.</w:t>
      </w:r>
    </w:p>
    <w:p>
      <w:pPr>
        <w:sectPr>
          <w:pgSz w:w="11900" w:h="16838" w:orient="portrait"/>
          <w:cols w:equalWidth="0" w:num="1">
            <w:col w:w="11120"/>
          </w:cols>
          <w:pgMar w:left="320" w:top="482"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March 31,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620" w:type="dxa"/>
            <w:vAlign w:val="bottom"/>
            <w:vMerge w:val="restart"/>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45.2%</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22.9</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26.7%</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Gross margins from our Data and Analytics Services segment were 45.2% of revenues during the first quarter of 2022. This compares to gross margins of 45.7% in the first quarter of 2021, representing a 50-basis point decrease due to lower utilization in the first half of the 2022 quarter.</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22.9% in the first quarter of 2022 compared to 21.4% during the corresponding quarter of 2021. This 150-basis point improvement was largely due to higher permanent placement fees, improved utilization and revenues from our higher-margin offshore staffing service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operations, amortization of acquired intangible assets and general and administrative categories for the three months ended March 31, 2022 and 2021, respectively: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8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02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IT Staffing Services Segment</w:t>
            </w:r>
          </w:p>
        </w:tc>
        <w:tc>
          <w:tcPr>
            <w:tcW w:w="1800" w:type="dxa"/>
            <w:vAlign w:val="bottom"/>
            <w:tcBorders>
              <w:bottom w:val="single" w:sz="8" w:color="CCEEFF"/>
            </w:tcBorders>
            <w:gridSpan w:val="2"/>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9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S,G&amp;A expenses for the three months ended March 31, 2022 totaled $12.6 million or 21.1% of total revenues, compared to $10.9 million or</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21.9% of revenues for the three months ended March 31, 2021. Excluding amortization of acquired intangible assets in both periods, S,G&amp;A expense as a percentage of total revenues would have been 19.7% and 20.3%, respectively.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the first quarter of 2022, compared to the first quarter of 2021, included the following:</w:t>
      </w:r>
    </w:p>
    <w:p>
      <w:pPr>
        <w:spacing w:after="0" w:line="131" w:lineRule="exact"/>
        <w:rPr>
          <w:sz w:val="20"/>
          <w:szCs w:val="20"/>
          <w:color w:val="auto"/>
        </w:rPr>
      </w:pPr>
    </w:p>
    <w:p>
      <w:pPr>
        <w:ind w:left="1080" w:right="2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$0.8 million in the 2022 period compared to 2021. An increase of $0.1 million related to our Data and Analytics Services segment which reflected additional staff and higher commissions. Sales expense in our IT Staffing Services segment increased by $0.7 million due to staff increases, higher commissions and bonuses, higher travel and other variable expenses.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by $0.6 million in the 2022 period compared to 2021. In our Data and Analytics Services segment operations expense decrease by increased $0.2 million due to lower staff. In our IT Staffing Services segment operations expense increased by</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related to staff increases and higher variable expense to support revenue growth.</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$0.8 million in both the 2022 and 2021 periods.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increased by $0.3 million in the 2022 period compared to 2021. Approximately $0.1 million was related to our Data and Analytics Services segment and $0.2 million was related to our IT Staffing Services segment. Executive search fees were largely responsible for the increases in the Data and Analytics Services segment. The increase in the IT Staffing Services segment was due to higher rents and travel expenses.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Income / (Expense) for the three months ended March 31, 2022 consisted of interest expense of ($114,000) and foreign exchange gains of $54,000. For the three months ended March 31, 2021, Other Income / (Expense) consisted of interest expense of ($195,000) and foreign exchange losses of ($37,000). The lower level of interest expense was reflective of debt repayments in 2021 and the first quarter of 2022.</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31, 2022 totaled $915,000, representing an effective tax rate on pre-tax income of 28.2% compared to $443,000 for the three months ended March 31, 2021, which represented a 27.1% effective tax rate on pre-tax income. The higher effective tax rate in the 2022 period largely reflected an increase in our tax valuation allowance related to foreign net operating losses (“NOLs”) in Singapore and the UK.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we had bank debt, net of cash balances on hand, of $4.8 million and approximately $35.5 million of borrowing capacity under our existing credit facility.</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March 31, 2022, our accounts receivable “days sales outstanding” (“DSOs”) measurement was 64-days, which was one day lower than at the end of the first quarter 2021.</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debt service obligations over the next twelve months, absent any acquisition-related activities.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2022 totaled $1.6 million compared to $0.8 million during the three months ended March 31, 2021. Elements of cash flows in the 2022 period were net income of $2.3 million, non-cash charges of $2.1 million, and an increase in operating working capital levels of ($2.8 million). During the three months ended March 31, 2021, elements of cash flow were net income of $1.2 million, non-cash charges of $1.6 million, and an increase in operating working capital levels of ($2.0 million).</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2022 was ($646,000) compared to ($191,000) for the three months ended March 31, 2021. The increase in capital expenditures in 2022 compared to 2021 reflects expenditures related to the Chennai delivery center in India and the implementation of Oracle Cloud for the Data and Analytics Services segment.</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Cash provided by (used in) financing activities for the three months ended March 31, 2022 totaled ($0.2 million) and consisted of debt repayments of ($1.1 million), partially offset by proceeds from the exercise of stock options of $0.9 million. Cash provided by (used in) financing activities for the three months ended March 31, 2021 totaled ($1.0 million) and consisted of debt repayments of ($1.1 million), partially offset by proceeds from the exercise of stock options of $0.1 million.</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seeking to ensure that billing rates are adjusted periodically to reflect increases in costs due to inflation. However, high levels of inflation may result in higher interest rates which would increase out cost of borrowings.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16 to the accompanying financial statements.</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we had outstanding borrowings of $12.0 million under our Credit Agreement with PNC Bank and certain other financial institution lenders — Refer to Note 9 – “Credit Facility” in the Notes to Condensed Consolidated Financial Statements, included herein. A hypothetical 10% increase in interest rates on our variable debt outstanding at March 31, 2022 would have an increase in our annual interest expense of approximately $36,000. As of March 31, 2022, the Company has no interest-rate hedge vehicles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 A hypothetical 10% increase or decrease in overall foreign currency rates would not have had a material impact on our consolidated financial statements. As our international operations grow, we will continue to evaluate and reassess our approach to managing the risks relating to fluctuations in currency rates.</w:t>
      </w:r>
    </w:p>
    <w:p>
      <w:pPr>
        <w:spacing w:after="0" w:line="339"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ectPr>
          <w:pgSz w:w="11900" w:h="16838" w:orient="portrait"/>
          <w:cols w:equalWidth="0" w:num="1">
            <w:col w:w="11100"/>
          </w:cols>
          <w:pgMar w:left="320" w:top="482"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March 31, 2022 that materially affected, or are reasonably likely to materially affect, our internal control over financial reporting.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2021, filed with the SEC on March 14, 2022.</w:t>
      </w:r>
    </w:p>
    <w:p>
      <w:pPr>
        <w:spacing w:after="0" w:line="30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8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900" w:type="dxa"/>
            <w:vAlign w:val="bottom"/>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40" w:type="dxa"/>
            <w:vAlign w:val="bottom"/>
            <w:gridSpan w:val="3"/>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9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5540" w:right="3100" w:hanging="5424"/>
        <w:spacing w:after="0" w:line="454" w:lineRule="auto"/>
        <w:tabs>
          <w:tab w:leader="none" w:pos="12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24</w:t>
      </w:r>
    </w:p>
    <w:p>
      <w:pPr>
        <w:sectPr>
          <w:pgSz w:w="11900" w:h="16838" w:orient="portrait"/>
          <w:cols w:equalWidth="0" w:num="1">
            <w:col w:w="10860"/>
          </w:cols>
          <w:pgMar w:left="320" w:top="482" w:right="7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11th day of May,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2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MASTECH DIGITAL, INC.</w:t>
            </w: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11, 2022</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VIVEK GUPTA</w:t>
            </w:r>
          </w:p>
        </w:tc>
      </w:tr>
      <w:tr>
        <w:trPr>
          <w:trHeight w:val="201"/>
        </w:trPr>
        <w:tc>
          <w:tcPr>
            <w:tcW w:w="58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5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Vivek Gupta</w:t>
            </w:r>
          </w:p>
        </w:tc>
      </w:tr>
      <w:tr>
        <w:trPr>
          <w:trHeight w:val="238"/>
        </w:trPr>
        <w:tc>
          <w:tcPr>
            <w:tcW w:w="5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5"/>
        </w:trPr>
        <w:tc>
          <w:tcPr>
            <w:tcW w:w="584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w:t>
            </w:r>
          </w:p>
        </w:tc>
        <w:tc>
          <w:tcPr>
            <w:tcW w:w="35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282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March 31, 2022,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11, 2022</w:t>
      </w:r>
    </w:p>
    <w:p>
      <w:pPr>
        <w:sectPr>
          <w:pgSz w:w="11900" w:h="16838" w:orient="portrait"/>
          <w:cols w:equalWidth="0" w:num="1">
            <w:col w:w="11024"/>
          </w:cols>
          <w:pgMar w:left="436"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March 31, 2022,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May 11,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3"/>
    </w:lvl>
  </w:abstractNum>
  <w:abstractNum w:abstractNumId="15">
    <w:nsid w:val="436C6125"/>
    <w:multiLevelType w:val="hybridMultilevel"/>
    <w:lvl w:ilvl="0">
      <w:lvlJc w:val="left"/>
      <w:lvlText w:val="%1."/>
      <w:numFmt w:val="decimal"/>
      <w:start w:val="14"/>
    </w:lvl>
  </w:abstractNum>
  <w:abstractNum w:abstractNumId="16">
    <w:nsid w:val="628C895D"/>
    <w:multiLevelType w:val="hybridMultilevel"/>
    <w:lvl w:ilvl="0">
      <w:lvlJc w:val="left"/>
      <w:lvlText w:val="%1."/>
      <w:numFmt w:val="decimal"/>
      <w:start w:val="15"/>
    </w:lvl>
  </w:abstractNum>
  <w:abstractNum w:abstractNumId="17">
    <w:nsid w:val="333AB105"/>
    <w:multiLevelType w:val="hybridMultilevel"/>
    <w:lvl w:ilvl="0">
      <w:lvlJc w:val="left"/>
      <w:lvlText w:val="%1."/>
      <w:numFmt w:val="decimal"/>
      <w:start w:val="16"/>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2022-05-11T06:34:09Z</dcterms:created>
  <dcterms:modified xsi:type="dcterms:W3CDTF">2022-05-11T06:34:09Z</dcterms:modified>
</cp:coreProperties>
</file>