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1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001-34099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8"/>
        </w:trPr>
        <w:tc>
          <w:tcPr>
            <w:tcW w:w="3040" w:type="dxa"/>
            <w:vAlign w:val="bottom"/>
          </w:tcPr>
          <w:p>
            <w:pPr>
              <w:jc w:val="center"/>
              <w:ind w:right="59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59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18"/>
              <w:spacing w:after="0"/>
              <w:rPr>
                <w:sz w:val="20"/>
                <w:szCs w:val="20"/>
                <w:color w:val="auto"/>
              </w:rPr>
            </w:pPr>
            <w:r>
              <w:rPr>
                <w:rFonts w:ascii="Times New Roman" w:cs="Times New Roman" w:eastAsia="Times New Roman" w:hAnsi="Times New Roman"/>
                <w:sz w:val="18"/>
                <w:szCs w:val="18"/>
                <w:b w:val="1"/>
                <w:bCs w:val="1"/>
                <w:color w:val="auto"/>
                <w:w w:val="99"/>
              </w:rPr>
              <w:t>1305 Cherrington Parkway</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40" w:type="dxa"/>
            <w:vAlign w:val="bottom"/>
          </w:tcPr>
          <w:p>
            <w:pPr>
              <w:jc w:val="center"/>
              <w:ind w:right="618"/>
              <w:spacing w:after="0"/>
              <w:rPr>
                <w:sz w:val="20"/>
                <w:szCs w:val="20"/>
                <w:color w:val="auto"/>
              </w:rPr>
            </w:pPr>
            <w:r>
              <w:rPr>
                <w:rFonts w:ascii="Times New Roman" w:cs="Times New Roman" w:eastAsia="Times New Roman" w:hAnsi="Times New Roman"/>
                <w:sz w:val="18"/>
                <w:szCs w:val="18"/>
                <w:b w:val="1"/>
                <w:bCs w:val="1"/>
                <w:color w:val="auto"/>
              </w:rPr>
              <w:t>Building 210</w:t>
            </w: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3040" w:type="dxa"/>
            <w:vAlign w:val="bottom"/>
          </w:tcPr>
          <w:p>
            <w:pPr>
              <w:jc w:val="center"/>
              <w:ind w:right="618"/>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40" w:type="dxa"/>
            <w:vAlign w:val="bottom"/>
          </w:tcPr>
          <w:p>
            <w:pPr>
              <w:jc w:val="center"/>
              <w:ind w:right="598"/>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78"/>
        </w:trPr>
        <w:tc>
          <w:tcPr>
            <w:tcW w:w="3040" w:type="dxa"/>
            <w:vAlign w:val="bottom"/>
          </w:tcPr>
          <w:p>
            <w:pPr>
              <w:jc w:val="center"/>
              <w:ind w:right="59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MHH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Amendment to Mastech Digital, Inc. Stock Incentive Plan</w:t>
      </w:r>
    </w:p>
    <w:p>
      <w:pPr>
        <w:spacing w:after="0" w:line="23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As further described in Item 5.07 of this Current Report on Form 8-K, at the Annual Meeting of Shareholders (the “Annual Meeting”) of Mastech Digital, Inc. (the “Company”) held on May 13, 2026, the Company’s shareholders approved an amendment (the “Second Amendment”) to the Company’s Stock Incentive Plan, as amended and restated effective May 14, 2024 and further amended on May 14, 2025 (as amended, the “Plan”), to allow for the issuance of restricted stock units (“RSUs”).</w:t>
      </w:r>
    </w:p>
    <w:p>
      <w:pPr>
        <w:spacing w:after="0" w:line="177"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A copy of the Second Amendment, as proposed at the Annual Meeting, was included as Exhibit A to the Company’s proxy statement for the Annual Meeting (the “Proxy Statement”), which Proxy Statement was filed with the U.S. Securities and Exchange Commission (the “SEC”) on April 9, 2026, and is available at the SEC’s website at www.sec.gov, and a copy of the Plan, as in effect prior to shareholder approval of the Second Amendment at the Annual Meeting, was included as Exhibit B to the Proxy Statement. The terms and conditions of the Plan, as amended, and information pertaining to certain participants in the Plan, as amended, are described in detail in the Proxy Statement.</w:t>
      </w:r>
    </w:p>
    <w:p>
      <w:pPr>
        <w:spacing w:after="0" w:line="29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foregoing description of the Second Amendment is qualified in its entirety by the terms of the Second Amendment, which is filed as Exhibit 10.1 to this Current Report on Form 8-K and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On May 13, 2026, the Company held its Annual Meeting. The Company solicited proxies for the Annual Meeting pursuant to Regulation 14A under the Securities Exchange Act of 1934, as amended. At the Annual Meeting, the shareholders of the Company: (1) elected the two nominees for Class III directors, (2) approved the Second Amendment to allow for the issuance of restricted stock units (“RSUs”), and (3) approved the compensation of the Company’s named executive officers. Notwithstanding the vote required by the Company’s bylaws, Proposal 3 (an advisory vote on named executive officer compensation) is an advisory vote only and is not binding on the Company.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final results of the votes regarding each proposal are set forth below.</w:t>
      </w:r>
    </w:p>
    <w:p>
      <w:pPr>
        <w:spacing w:after="0" w:line="200" w:lineRule="exact"/>
        <w:rPr>
          <w:sz w:val="20"/>
          <w:szCs w:val="20"/>
          <w:color w:val="auto"/>
        </w:rPr>
      </w:pPr>
    </w:p>
    <w:p>
      <w:pPr>
        <w:spacing w:after="0" w:line="237"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Proposal 1 — Election to the Company’s Board of Directors of two (2) Class III directors to serve for three-year terms or until their respective successors shall have been elected and qualified: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Nominee</w:t>
            </w:r>
          </w:p>
        </w:tc>
        <w:tc>
          <w:tcPr>
            <w:tcW w:w="6900" w:type="dxa"/>
            <w:vAlign w:val="bottom"/>
            <w:vMerge w:val="restart"/>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Votes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Broker</w:t>
            </w:r>
          </w:p>
        </w:tc>
        <w:tc>
          <w:tcPr>
            <w:tcW w:w="0" w:type="dxa"/>
            <w:vAlign w:val="bottom"/>
          </w:tcPr>
          <w:p>
            <w:pPr>
              <w:spacing w:after="0"/>
              <w:rPr>
                <w:sz w:val="1"/>
                <w:szCs w:val="1"/>
                <w:color w:val="auto"/>
              </w:rPr>
            </w:pPr>
          </w:p>
        </w:tc>
      </w:tr>
      <w:tr>
        <w:trPr>
          <w:trHeight w:val="148"/>
        </w:trPr>
        <w:tc>
          <w:tcPr>
            <w:tcW w:w="660" w:type="dxa"/>
            <w:vAlign w:val="bottom"/>
            <w:tcBorders>
              <w:bottom w:val="single" w:sz="8" w:color="auto"/>
            </w:tcBorders>
            <w:vMerge w:val="continue"/>
          </w:tcPr>
          <w:p>
            <w:pPr>
              <w:spacing w:after="0"/>
              <w:rPr>
                <w:sz w:val="12"/>
                <w:szCs w:val="12"/>
                <w:color w:val="auto"/>
              </w:rPr>
            </w:pPr>
          </w:p>
        </w:tc>
        <w:tc>
          <w:tcPr>
            <w:tcW w:w="6900" w:type="dxa"/>
            <w:vAlign w:val="bottom"/>
            <w:vMerge w:val="continue"/>
          </w:tcPr>
          <w:p>
            <w:pPr>
              <w:spacing w:after="0"/>
              <w:rPr>
                <w:sz w:val="12"/>
                <w:szCs w:val="12"/>
                <w:color w:val="auto"/>
              </w:rPr>
            </w:pPr>
          </w:p>
        </w:tc>
        <w:tc>
          <w:tcPr>
            <w:tcW w:w="1420" w:type="dxa"/>
            <w:vAlign w:val="bottom"/>
            <w:gridSpan w:val="2"/>
          </w:tcPr>
          <w:p>
            <w:pPr>
              <w:jc w:val="right"/>
              <w:ind w:right="880"/>
              <w:spacing w:after="0" w:line="129" w:lineRule="exact"/>
              <w:rPr>
                <w:sz w:val="20"/>
                <w:szCs w:val="20"/>
                <w:color w:val="auto"/>
              </w:rPr>
            </w:pPr>
            <w:r>
              <w:rPr>
                <w:rFonts w:ascii="Times New Roman" w:cs="Times New Roman" w:eastAsia="Times New Roman" w:hAnsi="Times New Roman"/>
                <w:sz w:val="13"/>
                <w:szCs w:val="13"/>
                <w:b w:val="1"/>
                <w:bCs w:val="1"/>
                <w:color w:val="auto"/>
                <w:w w:val="95"/>
              </w:rPr>
              <w:t>Votes For</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Withheld</w:t>
            </w:r>
          </w:p>
        </w:tc>
        <w:tc>
          <w:tcPr>
            <w:tcW w:w="460" w:type="dxa"/>
            <w:vAlign w:val="bottom"/>
          </w:tcPr>
          <w:p>
            <w:pPr>
              <w:spacing w:after="0"/>
              <w:rPr>
                <w:sz w:val="12"/>
                <w:szCs w:val="12"/>
                <w:color w:val="auto"/>
              </w:rPr>
            </w:pPr>
          </w:p>
        </w:tc>
        <w:tc>
          <w:tcPr>
            <w:tcW w:w="880" w:type="dxa"/>
            <w:vAlign w:val="bottom"/>
            <w:gridSpan w:val="2"/>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w w:val="92"/>
              </w:rPr>
              <w:t>Non-Votes</w:t>
            </w:r>
          </w:p>
        </w:tc>
        <w:tc>
          <w:tcPr>
            <w:tcW w:w="0" w:type="dxa"/>
            <w:vAlign w:val="bottom"/>
          </w:tcPr>
          <w:p>
            <w:pPr>
              <w:spacing w:after="0"/>
              <w:rPr>
                <w:sz w:val="1"/>
                <w:szCs w:val="1"/>
                <w:color w:val="auto"/>
              </w:rPr>
            </w:pPr>
          </w:p>
        </w:tc>
      </w:tr>
      <w:tr>
        <w:trPr>
          <w:trHeight w:val="190"/>
        </w:trPr>
        <w:tc>
          <w:tcPr>
            <w:tcW w:w="7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Arun Nayar</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9,498,274</w:t>
            </w:r>
          </w:p>
        </w:tc>
        <w:tc>
          <w:tcPr>
            <w:tcW w:w="5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603,232</w:t>
            </w:r>
          </w:p>
        </w:tc>
        <w:tc>
          <w:tcPr>
            <w:tcW w:w="4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Srinivas Kandula</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9,423,712</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677,794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Proposal 2 — Approval of the Second Amendment to allow for the issuance of restricted stock units (“RSUs) under the Plan</w:t>
      </w:r>
      <w:r>
        <w:rPr>
          <w:rFonts w:ascii="Times New Roman" w:cs="Times New Roman" w:eastAsia="Times New Roman" w:hAnsi="Times New Roman"/>
          <w:sz w:val="16"/>
          <w:szCs w:val="16"/>
          <w:color w:val="auto"/>
        </w:rPr>
        <w: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Broker</w:t>
            </w:r>
          </w:p>
        </w:tc>
      </w:tr>
      <w:tr>
        <w:trPr>
          <w:trHeight w:val="155"/>
        </w:trPr>
        <w:tc>
          <w:tcPr>
            <w:tcW w:w="760" w:type="dxa"/>
            <w:vAlign w:val="bottom"/>
          </w:tcPr>
          <w:p>
            <w:pPr>
              <w:spacing w:after="0"/>
              <w:rPr>
                <w:sz w:val="13"/>
                <w:szCs w:val="13"/>
                <w:color w:val="auto"/>
              </w:rPr>
            </w:pPr>
          </w:p>
        </w:tc>
        <w:tc>
          <w:tcPr>
            <w:tcW w:w="25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3"/>
                <w:szCs w:val="13"/>
                <w:b w:val="1"/>
                <w:bCs w:val="1"/>
                <w:color w:val="auto"/>
              </w:rPr>
              <w:t>Votes For</w:t>
            </w:r>
          </w:p>
        </w:tc>
        <w:tc>
          <w:tcPr>
            <w:tcW w:w="120" w:type="dxa"/>
            <w:vAlign w:val="bottom"/>
            <w:tcBorders>
              <w:bottom w:val="single" w:sz="8" w:color="CCEEFF"/>
            </w:tcBorders>
          </w:tcPr>
          <w:p>
            <w:pPr>
              <w:spacing w:after="0"/>
              <w:rPr>
                <w:sz w:val="13"/>
                <w:szCs w:val="13"/>
                <w:color w:val="auto"/>
              </w:rPr>
            </w:pPr>
          </w:p>
        </w:tc>
        <w:tc>
          <w:tcPr>
            <w:tcW w:w="25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3"/>
                <w:szCs w:val="13"/>
                <w:b w:val="1"/>
                <w:bCs w:val="1"/>
                <w:color w:val="auto"/>
              </w:rPr>
              <w:t>Votes Against</w:t>
            </w:r>
          </w:p>
        </w:tc>
        <w:tc>
          <w:tcPr>
            <w:tcW w:w="100" w:type="dxa"/>
            <w:vAlign w:val="bottom"/>
            <w:tcBorders>
              <w:bottom w:val="single" w:sz="8" w:color="CCEEFF"/>
            </w:tcBorders>
          </w:tcPr>
          <w:p>
            <w:pPr>
              <w:spacing w:after="0"/>
              <w:rPr>
                <w:sz w:val="13"/>
                <w:szCs w:val="13"/>
                <w:color w:val="auto"/>
              </w:rPr>
            </w:pPr>
          </w:p>
        </w:tc>
        <w:tc>
          <w:tcPr>
            <w:tcW w:w="2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3"/>
                <w:szCs w:val="13"/>
                <w:b w:val="1"/>
                <w:bCs w:val="1"/>
                <w:color w:val="auto"/>
              </w:rPr>
              <w:t>Abstentions</w:t>
            </w:r>
          </w:p>
        </w:tc>
        <w:tc>
          <w:tcPr>
            <w:tcW w:w="100" w:type="dxa"/>
            <w:vAlign w:val="bottom"/>
            <w:tcBorders>
              <w:bottom w:val="single" w:sz="8" w:color="CCEEFF"/>
            </w:tcBorders>
          </w:tcPr>
          <w:p>
            <w:pPr>
              <w:spacing w:after="0"/>
              <w:rPr>
                <w:sz w:val="13"/>
                <w:szCs w:val="13"/>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Non-Votes</w:t>
            </w:r>
          </w:p>
        </w:tc>
      </w:tr>
      <w:tr>
        <w:trPr>
          <w:trHeight w:val="196"/>
        </w:trPr>
        <w:tc>
          <w:tcPr>
            <w:tcW w:w="760" w:type="dxa"/>
            <w:vAlign w:val="bottom"/>
          </w:tcPr>
          <w:p>
            <w:pPr>
              <w:spacing w:after="0"/>
              <w:rPr>
                <w:sz w:val="17"/>
                <w:szCs w:val="17"/>
                <w:color w:val="auto"/>
              </w:rPr>
            </w:pPr>
          </w:p>
        </w:tc>
        <w:tc>
          <w:tcPr>
            <w:tcW w:w="25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9,377,383</w:t>
            </w: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721,473</w:t>
            </w:r>
          </w:p>
        </w:tc>
        <w:tc>
          <w:tcPr>
            <w:tcW w:w="100" w:type="dxa"/>
            <w:vAlign w:val="bottom"/>
            <w:shd w:val="clear" w:color="auto" w:fill="CCEEFF"/>
          </w:tcPr>
          <w:p>
            <w:pPr>
              <w:spacing w:after="0"/>
              <w:rPr>
                <w:sz w:val="17"/>
                <w:szCs w:val="17"/>
                <w:color w:val="auto"/>
              </w:rPr>
            </w:pPr>
          </w:p>
        </w:tc>
        <w:tc>
          <w:tcPr>
            <w:tcW w:w="26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601"/>
        </w:trPr>
        <w:tc>
          <w:tcPr>
            <w:tcW w:w="8580" w:type="dxa"/>
            <w:vAlign w:val="bottom"/>
            <w:gridSpan w:val="6"/>
          </w:tcPr>
          <w:p>
            <w:pPr>
              <w:jc w:val="right"/>
              <w:ind w:right="1108"/>
              <w:spacing w:after="0"/>
              <w:rPr>
                <w:sz w:val="20"/>
                <w:szCs w:val="20"/>
                <w:color w:val="auto"/>
              </w:rPr>
            </w:pPr>
            <w:r>
              <w:rPr>
                <w:rFonts w:ascii="Times New Roman" w:cs="Times New Roman" w:eastAsia="Times New Roman" w:hAnsi="Times New Roman"/>
                <w:sz w:val="16"/>
                <w:szCs w:val="16"/>
                <w:color w:val="auto"/>
              </w:rPr>
              <w:t>Proposal 3 — A non-binding advisory vote on the compensation of the named executive officers of the Company:</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Broker</w:t>
            </w:r>
          </w:p>
        </w:tc>
      </w:tr>
      <w:tr>
        <w:trPr>
          <w:trHeight w:val="155"/>
        </w:trPr>
        <w:tc>
          <w:tcPr>
            <w:tcW w:w="760" w:type="dxa"/>
            <w:vAlign w:val="bottom"/>
          </w:tcPr>
          <w:p>
            <w:pPr>
              <w:spacing w:after="0"/>
              <w:rPr>
                <w:sz w:val="13"/>
                <w:szCs w:val="13"/>
                <w:color w:val="auto"/>
              </w:rPr>
            </w:pPr>
          </w:p>
        </w:tc>
        <w:tc>
          <w:tcPr>
            <w:tcW w:w="25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3"/>
                <w:szCs w:val="13"/>
                <w:b w:val="1"/>
                <w:bCs w:val="1"/>
                <w:color w:val="auto"/>
              </w:rPr>
              <w:t>Votes For</w:t>
            </w:r>
          </w:p>
        </w:tc>
        <w:tc>
          <w:tcPr>
            <w:tcW w:w="120" w:type="dxa"/>
            <w:vAlign w:val="bottom"/>
            <w:tcBorders>
              <w:bottom w:val="single" w:sz="8" w:color="CCEEFF"/>
            </w:tcBorders>
          </w:tcPr>
          <w:p>
            <w:pPr>
              <w:spacing w:after="0"/>
              <w:rPr>
                <w:sz w:val="13"/>
                <w:szCs w:val="13"/>
                <w:color w:val="auto"/>
              </w:rPr>
            </w:pPr>
          </w:p>
        </w:tc>
        <w:tc>
          <w:tcPr>
            <w:tcW w:w="25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3"/>
                <w:szCs w:val="13"/>
                <w:b w:val="1"/>
                <w:bCs w:val="1"/>
                <w:color w:val="auto"/>
              </w:rPr>
              <w:t>Votes Against</w:t>
            </w:r>
          </w:p>
        </w:tc>
        <w:tc>
          <w:tcPr>
            <w:tcW w:w="100" w:type="dxa"/>
            <w:vAlign w:val="bottom"/>
            <w:tcBorders>
              <w:bottom w:val="single" w:sz="8" w:color="CCEEFF"/>
            </w:tcBorders>
          </w:tcPr>
          <w:p>
            <w:pPr>
              <w:spacing w:after="0"/>
              <w:rPr>
                <w:sz w:val="13"/>
                <w:szCs w:val="13"/>
                <w:color w:val="auto"/>
              </w:rPr>
            </w:pPr>
          </w:p>
        </w:tc>
        <w:tc>
          <w:tcPr>
            <w:tcW w:w="2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3"/>
                <w:szCs w:val="13"/>
                <w:b w:val="1"/>
                <w:bCs w:val="1"/>
                <w:color w:val="auto"/>
              </w:rPr>
              <w:t>Abstentions</w:t>
            </w:r>
          </w:p>
        </w:tc>
        <w:tc>
          <w:tcPr>
            <w:tcW w:w="100" w:type="dxa"/>
            <w:vAlign w:val="bottom"/>
            <w:tcBorders>
              <w:bottom w:val="single" w:sz="8" w:color="CCEEFF"/>
            </w:tcBorders>
          </w:tcPr>
          <w:p>
            <w:pPr>
              <w:spacing w:after="0"/>
              <w:rPr>
                <w:sz w:val="13"/>
                <w:szCs w:val="13"/>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Non-Votes</w:t>
            </w:r>
          </w:p>
        </w:tc>
      </w:tr>
      <w:tr>
        <w:trPr>
          <w:trHeight w:val="196"/>
        </w:trPr>
        <w:tc>
          <w:tcPr>
            <w:tcW w:w="760" w:type="dxa"/>
            <w:vAlign w:val="bottom"/>
          </w:tcPr>
          <w:p>
            <w:pPr>
              <w:spacing w:after="0"/>
              <w:rPr>
                <w:sz w:val="17"/>
                <w:szCs w:val="17"/>
                <w:color w:val="auto"/>
              </w:rPr>
            </w:pPr>
          </w:p>
        </w:tc>
        <w:tc>
          <w:tcPr>
            <w:tcW w:w="2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9,313,024</w:t>
            </w: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782,645</w:t>
            </w:r>
          </w:p>
        </w:tc>
        <w:tc>
          <w:tcPr>
            <w:tcW w:w="100" w:type="dxa"/>
            <w:vAlign w:val="bottom"/>
            <w:shd w:val="clear" w:color="auto" w:fill="CCEEFF"/>
          </w:tcPr>
          <w:p>
            <w:pPr>
              <w:spacing w:after="0"/>
              <w:rPr>
                <w:sz w:val="17"/>
                <w:szCs w:val="17"/>
                <w:color w:val="auto"/>
              </w:rPr>
            </w:pPr>
          </w:p>
        </w:tc>
        <w:tc>
          <w:tcPr>
            <w:tcW w:w="26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5,837</w:t>
            </w: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ind w:left="60"/>
        <w:spacing w:after="0" w:line="185" w:lineRule="auto"/>
        <w:tabs>
          <w:tab w:leader="none" w:pos="640" w:val="left"/>
        </w:tabs>
        <w:rPr>
          <w:sz w:val="20"/>
          <w:szCs w:val="20"/>
          <w:color w:val="auto"/>
        </w:rPr>
      </w:pPr>
      <w:r>
        <w:rPr>
          <w:rFonts w:ascii="Times New Roman" w:cs="Times New Roman" w:eastAsia="Times New Roman" w:hAnsi="Times New Roman"/>
          <w:sz w:val="24"/>
          <w:szCs w:val="24"/>
          <w:color w:val="auto"/>
          <w:vertAlign w:val="superscript"/>
        </w:rPr>
        <w:t>Exhibit</w:t>
      </w:r>
      <w:r>
        <w:rPr>
          <w:sz w:val="20"/>
          <w:szCs w:val="20"/>
          <w:color w:val="auto"/>
        </w:rPr>
        <w:tab/>
      </w:r>
      <w:r>
        <w:rPr>
          <w:rFonts w:ascii="Times New Roman" w:cs="Times New Roman" w:eastAsia="Times New Roman" w:hAnsi="Times New Roman"/>
          <w:sz w:val="13"/>
          <w:szCs w:val="13"/>
          <w:color w:val="auto"/>
        </w:rPr>
        <w:t>Description</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25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-54610</wp:posOffset>
            </wp:positionV>
            <wp:extent cx="6703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Second Amend to Mastech Digital, Inc. Stock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wp:posOffset>
            </wp:positionV>
            <wp:extent cx="4026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26535" cy="8890"/>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Kannan Sugantharaman, Chief Financial &amp; Operations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SECOND AMENDMENT TO</w:t>
      </w:r>
    </w:p>
    <w:p>
      <w:pPr>
        <w:spacing w:after="0" w:line="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MASTECH DIGITAL, INC.</w:t>
      </w:r>
    </w:p>
    <w:p>
      <w:pPr>
        <w:ind w:left="4280"/>
        <w:spacing w:after="0" w:line="230" w:lineRule="auto"/>
        <w:rPr>
          <w:sz w:val="20"/>
          <w:szCs w:val="20"/>
          <w:color w:val="auto"/>
        </w:rPr>
      </w:pPr>
      <w:r>
        <w:rPr>
          <w:rFonts w:ascii="Times New Roman" w:cs="Times New Roman" w:eastAsia="Times New Roman" w:hAnsi="Times New Roman"/>
          <w:sz w:val="22"/>
          <w:szCs w:val="22"/>
          <w:b w:val="1"/>
          <w:bCs w:val="1"/>
          <w:color w:val="auto"/>
        </w:rPr>
        <w:t>STOCK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Mastech Digital, Inc., a Pennsylvania corporation (the “Company”), maintains the Mastech Digital,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Incentive Plan, as amended and restated (the “Plan”);</w:t>
      </w:r>
    </w:p>
    <w:p>
      <w:pPr>
        <w:spacing w:after="0" w:line="17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Plan was originally effective as of October 1, 2008, was amended and restated effective as of May 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 and further amended on May 14, 2025;</w:t>
      </w:r>
    </w:p>
    <w:p>
      <w:pPr>
        <w:spacing w:after="0" w:line="17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19 of the Plan provides that the Board of Directors (the “Board”) of the Company may amend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subject to certain limitations;</w:t>
      </w:r>
    </w:p>
    <w:p>
      <w:pPr>
        <w:spacing w:after="0" w:line="177"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has resolved that it is in the best interest of the Company and its shareholders to amend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add restricted stock units as a type of award available for issuance under the Plan; and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requisite shareholders of the Company have approved the foregoing amendment.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Plan is amended in the following respects: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23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The definition of “Award” or “Awards” shall be deleted in its entirety and replaced with the following:</w:t>
      </w:r>
    </w:p>
    <w:p>
      <w:pPr>
        <w:spacing w:after="0" w:line="233" w:lineRule="exact"/>
        <w:rPr>
          <w:sz w:val="20"/>
          <w:szCs w:val="20"/>
          <w:color w:val="auto"/>
        </w:rPr>
      </w:pPr>
    </w:p>
    <w:p>
      <w:pPr>
        <w:jc w:val="both"/>
        <w:ind w:left="1500" w:right="740"/>
        <w:spacing w:after="0" w:line="244" w:lineRule="auto"/>
        <w:rPr>
          <w:sz w:val="20"/>
          <w:szCs w:val="20"/>
          <w:color w:val="auto"/>
        </w:rPr>
      </w:pPr>
      <w:r>
        <w:rPr>
          <w:rFonts w:ascii="Times New Roman" w:cs="Times New Roman" w:eastAsia="Times New Roman" w:hAnsi="Times New Roman"/>
          <w:sz w:val="22"/>
          <w:szCs w:val="22"/>
          <w:color w:val="auto"/>
        </w:rPr>
        <w:t>“Award” or “Awards,” except where referring to a particular category of grant under the Plan, shall include Incentive Stock Options, Non-Qualified Stock Options, Restricted Stock Awards, Stock Awards, Performance Share Awards, Stock Appreciation Rights, and Restricted Stock Unit Awards.</w:t>
      </w:r>
    </w:p>
    <w:p>
      <w:pPr>
        <w:spacing w:after="0" w:line="200" w:lineRule="exact"/>
        <w:rPr>
          <w:sz w:val="20"/>
          <w:szCs w:val="20"/>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 of “Restricted Stock Units” shall be added to Section 1 (General Purpose of the Plan; Definitions):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“Restricted Stock Units Awards” means any Award granted pursuant to Section 12A.</w:t>
      </w:r>
    </w:p>
    <w:p>
      <w:pPr>
        <w:spacing w:after="0" w:line="233"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Section 12A Restricted Stock Units Award shall be added in entirety:</w:t>
      </w:r>
    </w:p>
    <w:p>
      <w:pPr>
        <w:spacing w:after="0" w:line="229"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12A. Restricted Stock Unit Awards.</w:t>
      </w:r>
    </w:p>
    <w:p>
      <w:pPr>
        <w:spacing w:after="0" w:line="237" w:lineRule="exact"/>
        <w:rPr>
          <w:rFonts w:ascii="Times New Roman" w:cs="Times New Roman" w:eastAsia="Times New Roman" w:hAnsi="Times New Roman"/>
          <w:sz w:val="22"/>
          <w:szCs w:val="22"/>
          <w:color w:val="auto"/>
        </w:rPr>
      </w:pPr>
    </w:p>
    <w:p>
      <w:pPr>
        <w:ind w:left="2220" w:right="760" w:hanging="340"/>
        <w:spacing w:after="0" w:line="258" w:lineRule="auto"/>
        <w:tabs>
          <w:tab w:leader="none" w:pos="222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may grant Restricted Stock Unit Awards to any officer, employee, consultant, or subcontractor of the Company and its Subsidiaries.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jc w:val="both"/>
        <w:ind w:left="1838" w:right="20"/>
        <w:spacing w:after="0" w:line="236" w:lineRule="auto"/>
        <w:rPr>
          <w:sz w:val="20"/>
          <w:szCs w:val="20"/>
          <w:color w:val="auto"/>
        </w:rPr>
      </w:pPr>
      <w:r>
        <w:rPr>
          <w:rFonts w:ascii="Times New Roman" w:cs="Times New Roman" w:eastAsia="Times New Roman" w:hAnsi="Times New Roman"/>
          <w:sz w:val="22"/>
          <w:szCs w:val="22"/>
          <w:color w:val="auto"/>
        </w:rPr>
        <w:t>Restricted Stock Unit Award entitles the recipient to receive one (1) share of Stock or the Fair Market Value in cash of one (1) share of Stock, as determined by the Plan Administrator, subject to such restrictions and conditions as the Plan Administrator may determine at the time of grant (“Restricted Stock Unit”). Conditions may be based on continuing employment (or other business relationship) and/or achievement of pre-established performance goals and objectives.</w:t>
      </w:r>
    </w:p>
    <w:p>
      <w:pPr>
        <w:spacing w:after="0" w:line="208" w:lineRule="exact"/>
        <w:rPr>
          <w:sz w:val="20"/>
          <w:szCs w:val="20"/>
          <w:color w:val="auto"/>
        </w:rPr>
      </w:pPr>
    </w:p>
    <w:p>
      <w:pPr>
        <w:jc w:val="both"/>
        <w:ind w:left="1838" w:right="20" w:hanging="340"/>
        <w:spacing w:after="0" w:line="238" w:lineRule="auto"/>
        <w:tabs>
          <w:tab w:leader="none" w:pos="1838"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holding unvested Restricted Stock Units shall not have any of the rights of a shareholder with respect to such unvested Restricted Stock Unit, including, but not limited to the right to vote and receive dividends with respect thereto, until such Restricted Stock Unit vests and the underlying share of Stock has been delivered to the participant in accordance with the terms of the Restricted Stock Unit Award.</w:t>
      </w:r>
    </w:p>
    <w:p>
      <w:pPr>
        <w:spacing w:after="0" w:line="203" w:lineRule="exact"/>
        <w:rPr>
          <w:rFonts w:ascii="Times New Roman" w:cs="Times New Roman" w:eastAsia="Times New Roman" w:hAnsi="Times New Roman"/>
          <w:sz w:val="22"/>
          <w:szCs w:val="22"/>
          <w:color w:val="auto"/>
        </w:rPr>
      </w:pPr>
    </w:p>
    <w:p>
      <w:pPr>
        <w:jc w:val="both"/>
        <w:ind w:left="1838" w:right="20" w:hanging="340"/>
        <w:spacing w:after="0" w:line="239" w:lineRule="auto"/>
        <w:tabs>
          <w:tab w:leader="none" w:pos="1838"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at the time of grant shall specify the date or dates and/or the attainment of pre-established performance goals, objectives and other conditions on which Restricted Stock Unit shall become vested, subject to such further rights of the Company or its assigns as may be specified in the instrument evidencing the Restricted Stock Unit Award.</w:t>
      </w:r>
    </w:p>
    <w:p>
      <w:pPr>
        <w:spacing w:after="0" w:line="207" w:lineRule="exact"/>
        <w:rPr>
          <w:rFonts w:ascii="Times New Roman" w:cs="Times New Roman" w:eastAsia="Times New Roman" w:hAnsi="Times New Roman"/>
          <w:sz w:val="22"/>
          <w:szCs w:val="22"/>
          <w:color w:val="auto"/>
        </w:rPr>
      </w:pPr>
    </w:p>
    <w:p>
      <w:pPr>
        <w:jc w:val="both"/>
        <w:ind w:left="1838" w:right="20" w:hanging="340"/>
        <w:spacing w:after="0" w:line="244" w:lineRule="auto"/>
        <w:tabs>
          <w:tab w:leader="none" w:pos="1838"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Unvested Restricted Stock Units may not be sold, assigned, transferred, pledged or otherwise encumbered or disposed of except as specifically provided herein or in the written instrument evidencing the Restricted Stock Unit Award.</w:t>
      </w:r>
    </w:p>
    <w:p>
      <w:pPr>
        <w:spacing w:after="0" w:line="200" w:lineRule="exact"/>
        <w:rPr>
          <w:rFonts w:ascii="Times New Roman" w:cs="Times New Roman" w:eastAsia="Times New Roman" w:hAnsi="Times New Roman"/>
          <w:sz w:val="22"/>
          <w:szCs w:val="22"/>
          <w:color w:val="auto"/>
        </w:rPr>
      </w:pPr>
    </w:p>
    <w:p>
      <w:pPr>
        <w:jc w:val="both"/>
        <w:ind w:left="1838" w:hanging="340"/>
        <w:spacing w:after="0" w:line="238" w:lineRule="auto"/>
        <w:tabs>
          <w:tab w:leader="none" w:pos="1838"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awardee of Restricted Stock Units engages in the operation or management of a business (whether as owner, partner, officer, director, employee or otherwise and whether during or after termination of employment) which is in competition with the Company or any of its Subsidiaries, the Plan Administrator may immediately declare forfeited all shares of Restricted Stock Units held by the participant.</w:t>
      </w:r>
    </w:p>
    <w:p>
      <w:pPr>
        <w:spacing w:after="0" w:line="203"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13(c) shall be deleted in its entirety and replaced with the following:</w:t>
      </w:r>
    </w:p>
    <w:p>
      <w:pPr>
        <w:spacing w:after="0" w:line="233" w:lineRule="exact"/>
        <w:rPr>
          <w:rFonts w:ascii="Times New Roman" w:cs="Times New Roman" w:eastAsia="Times New Roman" w:hAnsi="Times New Roman"/>
          <w:sz w:val="22"/>
          <w:szCs w:val="22"/>
          <w:color w:val="auto"/>
        </w:rPr>
      </w:pPr>
    </w:p>
    <w:p>
      <w:pPr>
        <w:jc w:val="both"/>
        <w:ind w:left="1118" w:right="20" w:firstLine="5"/>
        <w:spacing w:after="0" w:line="234" w:lineRule="auto"/>
        <w:tabs>
          <w:tab w:leader="none" w:pos="149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is obligated to pay to the Company an amount required to be withheld under applicable tax withholding requirements in connection with either the exercise of a Non-Qualified Stock Option, or the receipt, vesting or settlement of a Restricted Stock Award, Stock Award Performance Share Award, or Restricted Stock Unit under the Plan may, in the discretion of the Plan Administrator, elect to satisfy this withholding obligation, in whole or in part, by requesting that the Company withhold shares of stock otherwise issuable to the participant having a Fair Market Value on the date on which the amount of tax to be withheld is determined which does not exceed the amount of tax required to be withheld (based on the statutory minimum withholding rates for federal and state tax purposes, including payroll taxes); provided, however, that shares may be withheld by the Company only if such withheld shares have vested. Any fractional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461645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8"/>
          </w:cols>
          <w:pgMar w:left="702" w:top="760" w:right="1079" w:bottom="1440" w:gutter="0" w:footer="0" w:header="0"/>
        </w:sectPr>
      </w:pPr>
    </w:p>
    <w:bookmarkStart w:id="5" w:name="page6"/>
    <w:bookmarkEnd w:id="5"/>
    <w:p>
      <w:pPr>
        <w:ind w:left="1118" w:right="20"/>
        <w:spacing w:after="0" w:line="258" w:lineRule="auto"/>
        <w:rPr>
          <w:sz w:val="20"/>
          <w:szCs w:val="20"/>
          <w:color w:val="auto"/>
        </w:rPr>
      </w:pPr>
      <w:r>
        <w:rPr>
          <w:rFonts w:ascii="Times New Roman" w:cs="Times New Roman" w:eastAsia="Times New Roman" w:hAnsi="Times New Roman"/>
          <w:sz w:val="22"/>
          <w:szCs w:val="22"/>
          <w:color w:val="auto"/>
        </w:rPr>
        <w:t>amount shall be paid to the Company by the participant in cash or shall be withheld from the participant’s next regular paycheck.</w:t>
      </w:r>
    </w:p>
    <w:p>
      <w:pPr>
        <w:spacing w:after="0" w:line="185" w:lineRule="exact"/>
        <w:rPr>
          <w:sz w:val="20"/>
          <w:szCs w:val="20"/>
          <w:color w:val="auto"/>
        </w:rPr>
      </w:pPr>
    </w:p>
    <w:p>
      <w:pPr>
        <w:ind w:left="378" w:hanging="378"/>
        <w:spacing w:after="0"/>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14(b) shall be deleted in its entirety and replaced with the following:</w:t>
      </w:r>
    </w:p>
    <w:p>
      <w:pPr>
        <w:spacing w:after="0" w:line="233" w:lineRule="exact"/>
        <w:rPr>
          <w:rFonts w:ascii="Times New Roman" w:cs="Times New Roman" w:eastAsia="Times New Roman" w:hAnsi="Times New Roman"/>
          <w:sz w:val="22"/>
          <w:szCs w:val="22"/>
          <w:color w:val="auto"/>
        </w:rPr>
      </w:pPr>
    </w:p>
    <w:p>
      <w:pPr>
        <w:jc w:val="both"/>
        <w:ind w:left="1118" w:right="20" w:firstLine="5"/>
        <w:spacing w:after="0" w:line="233" w:lineRule="auto"/>
        <w:tabs>
          <w:tab w:leader="none" w:pos="143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outstanding shares of the Stock shall be changed in value by reason of any spin-off, split-off or split-up, or dividend in partial liquidation, dividend in property other than cash, or extraordinary distribution to shareholders of the Stock, (i) the Plan Administrator shall make any adjustments to any then outstanding Stock Option, Stock Appreciation Right, Restricted Stock Award, Performance Share Award, Restricted Stock Unit Award or other stock Award which it determines are equitably required to prevent dilution or enlargement of the rights of participants which would otherwise result from any such transaction, and (ii) unless otherwise determined by the Plan Administrator in its discretion, any stock, securities, cash or other property distributed with respect to any shares of Restricted Stock held in escrow or for which any shares of Restricted Stock held in escrow shall be exchanged in any such transaction shall also be held by the Company in escrow and shall be subject to the same restrictions as are applicable to the shares of Restricted Stock in respect of which such stock, securities, cash or other property was distributed or exchanged.</w:t>
      </w:r>
    </w:p>
    <w:p>
      <w:pPr>
        <w:spacing w:after="0" w:line="211"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16(a) shall be deleted in its entirety and replaced with the following:</w:t>
      </w:r>
    </w:p>
    <w:p>
      <w:pPr>
        <w:spacing w:after="0" w:line="233" w:lineRule="exact"/>
        <w:rPr>
          <w:rFonts w:ascii="Times New Roman" w:cs="Times New Roman" w:eastAsia="Times New Roman" w:hAnsi="Times New Roman"/>
          <w:sz w:val="22"/>
          <w:szCs w:val="22"/>
          <w:color w:val="auto"/>
        </w:rPr>
      </w:pPr>
    </w:p>
    <w:p>
      <w:pPr>
        <w:jc w:val="both"/>
        <w:ind w:left="1118" w:firstLine="5"/>
        <w:spacing w:after="0" w:line="244" w:lineRule="auto"/>
        <w:tabs>
          <w:tab w:leader="none" w:pos="1426"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Change of Control, (i) each outstanding Option, SAR and Performance Share Award shall be assumed by the Acquiring Company (as defined below) or parent thereof or replaced with a comparable option or right to purchase or to be awarded shares of the capital stock, or equity equivalent instrument, of the Acquiring Company or parent thereof, or other comparable rights (such assumed and comparable options and rights, together, the “Replacement Options”), (ii) each share of Restricted Stock shall be converted to a comparable restricted grant of capital stock, or equity equivalent instrument, of the Acquiring Corporation or parent thereof or other comparable restricted property (such assumed and comparable, restricted grants, together, the “Replacement Restricted Stock”), and</w:t>
      </w:r>
    </w:p>
    <w:p>
      <w:pPr>
        <w:spacing w:after="0" w:line="3" w:lineRule="exact"/>
        <w:rPr>
          <w:rFonts w:ascii="Times New Roman" w:cs="Times New Roman" w:eastAsia="Times New Roman" w:hAnsi="Times New Roman"/>
          <w:sz w:val="21"/>
          <w:szCs w:val="21"/>
          <w:color w:val="auto"/>
        </w:rPr>
      </w:pPr>
    </w:p>
    <w:p>
      <w:pPr>
        <w:jc w:val="both"/>
        <w:ind w:left="1118" w:firstLine="5"/>
        <w:spacing w:after="0" w:line="231" w:lineRule="auto"/>
        <w:tabs>
          <w:tab w:leader="none" w:pos="149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of Restricted Stock Unit shall be converted to a comparable restricted grant of restricted stock units, or equity equivalent instrument, of the Acquiring Corporation or parent thereof or other comparable award (such assumed and comparable, restricted stock unit grants, together, the “Replacement Restricted Stock Unit”); provided, however, that if the Acquiring Corporation or parent thereof does not agree to grant Replacement Options, Replacement Restricted Stock, and Replacement Restricted Stock Units, then all outstanding Options and SARs which have been granted under the Plan and which are not exercisable as of the effective date of the Change of Control shall automatically accelerate and become exercisable immediately prior to the effective date of the Change of Control, and the Performance Period with respect to all Performance Share Awards shall end on the day prior to the effective date of the Change of Control and become payable to the extent the Performance Goals were achieved, and all restrictions and conditions on any Restricted Stock, Restricted Stock Units or other stock Award shall lapse upon the effective date of the Change of Control. The term “Acquiring Corporation”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465455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8"/>
          </w:cols>
          <w:pgMar w:left="702" w:top="760" w:right="1079" w:bottom="1440" w:gutter="0" w:footer="0" w:header="0"/>
        </w:sectPr>
      </w:pPr>
    </w:p>
    <w:bookmarkStart w:id="6" w:name="page7"/>
    <w:bookmarkEnd w:id="6"/>
    <w:p>
      <w:pPr>
        <w:jc w:val="both"/>
        <w:ind w:left="1500" w:right="740"/>
        <w:spacing w:after="0" w:line="245" w:lineRule="auto"/>
        <w:rPr>
          <w:sz w:val="20"/>
          <w:szCs w:val="20"/>
          <w:color w:val="auto"/>
        </w:rPr>
      </w:pPr>
      <w:r>
        <w:rPr>
          <w:rFonts w:ascii="Times New Roman" w:cs="Times New Roman" w:eastAsia="Times New Roman" w:hAnsi="Times New Roman"/>
          <w:sz w:val="21"/>
          <w:szCs w:val="21"/>
          <w:color w:val="auto"/>
        </w:rPr>
        <w:t>the surviving, continuing, successor or purchasing corporation, as the case may be. The Board may determine, in its discretion, (but shall not be obligated to do so) that in lieu of the issuance of Replacement Options, all holders of outstanding Options and SARs which are exercisable immediately prior to a Change of Control (including those that become exercisable under this Section 16(a)) will be required to surrender them in exchange for a payment by the Company, in cash or Stock as determined by the Board, of an amount equal to the amount (if any) by which the per share value of Stock subject to unexercised Options or SARs (determined by the Board in good faith, based on the applicable price in the transaction giving rise to the Change of Control, and such other considerations as the Board deems appropriate) exceeds the exercise price of those Options or SARs (where Options and SARs are issued in tandem, such payment to be made only with respect to a single underlying share of Stock upon surrender of each tandem pair of Options and SARs), with such payment to take place as of the date of the Change of Control or such other date as the Board may prescribe.</w:t>
      </w: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Except as set forth in this amendment, the Plan shall be unaffected hereby and shall remain in full force and effect.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 *</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hereby certifies that the foregoing amendment to the Plan was duly approved and adopted and has executed this amendment to the Plan as of May 13, 2026.</w:t>
      </w: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MASTECH DIGITAL, INC.</w:t>
      </w:r>
    </w:p>
    <w:p>
      <w:pPr>
        <w:spacing w:after="0" w:line="237" w:lineRule="exact"/>
        <w:rPr>
          <w:sz w:val="20"/>
          <w:szCs w:val="20"/>
          <w:color w:val="auto"/>
        </w:rPr>
      </w:pPr>
    </w:p>
    <w:p>
      <w:pPr>
        <w:ind w:left="5240"/>
        <w:spacing w:after="0"/>
        <w:tabs>
          <w:tab w:leader="none" w:pos="5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8237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ind w:left="5240"/>
        <w:spacing w:after="0"/>
        <w:tabs>
          <w:tab w:leader="none" w:pos="6120" w:val="left"/>
        </w:tabs>
        <w:rPr>
          <w:sz w:val="20"/>
          <w:szCs w:val="20"/>
          <w:color w:val="auto"/>
        </w:rPr>
      </w:pPr>
      <w:r>
        <w:rPr>
          <w:rFonts w:ascii="Times New Roman" w:cs="Times New Roman" w:eastAsia="Times New Roman" w:hAnsi="Times New Roman"/>
          <w:sz w:val="22"/>
          <w:szCs w:val="22"/>
          <w:color w:val="auto"/>
        </w:rPr>
        <w:t>Name:</w:t>
        <w:tab/>
        <w:t>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-22860</wp:posOffset>
            </wp:positionV>
            <wp:extent cx="16567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6715" cy="8890"/>
                    </a:xfrm>
                    <a:prstGeom prst="rect">
                      <a:avLst/>
                    </a:prstGeom>
                    <a:noFill/>
                  </pic:spPr>
                </pic:pic>
              </a:graphicData>
            </a:graphic>
          </wp:anchor>
        </w:drawing>
      </w:r>
    </w:p>
    <w:p>
      <w:pPr>
        <w:ind w:left="5240"/>
        <w:spacing w:after="0"/>
        <w:tabs>
          <w:tab w:leader="none" w:pos="5940" w:val="left"/>
        </w:tabs>
        <w:rPr>
          <w:sz w:val="20"/>
          <w:szCs w:val="20"/>
          <w:color w:val="auto"/>
        </w:rPr>
      </w:pPr>
      <w:r>
        <w:rPr>
          <w:rFonts w:ascii="Times New Roman" w:cs="Times New Roman" w:eastAsia="Times New Roman" w:hAnsi="Times New Roman"/>
          <w:sz w:val="22"/>
          <w:szCs w:val="22"/>
          <w:color w:val="auto"/>
        </w:rPr>
        <w:t>Title:</w:t>
        <w:tab/>
        <w:t>Chief Financial &amp; Operations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1062990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-29210</wp:posOffset>
            </wp:positionV>
            <wp:extent cx="21824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82495"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lvl w:ilvl="1">
      <w:lvlJc w:val="left"/>
      <w:lvlText w:val="(%2)"/>
      <w:numFmt w:val="lowerLetter"/>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
    <w:nsid w:val="2EB141F2"/>
    <w:multiLevelType w:val="hybridMultilevel"/>
    <w:lvl w:ilvl="0">
      <w:lvlJc w:val="left"/>
      <w:lvlText w:val="%1."/>
      <w:numFmt w:val="decimal"/>
      <w:start w:val="4"/>
    </w:lvl>
    <w:lvl w:ilvl="1">
      <w:lvlJc w:val="left"/>
      <w:lvlText w:val="(%2)"/>
      <w:numFmt w:val="lowerLetter"/>
      <w:start w:val="3"/>
    </w:lvl>
    <w:lvl w:ilvl="2">
      <w:lvlJc w:val="left"/>
      <w:lvlText w:val="%3"/>
      <w:numFmt w:val="lowerLetter"/>
      <w:start w:val="1"/>
    </w:lvl>
  </w:abstractNum>
  <w:abstractNum w:abstractNumId="5">
    <w:nsid w:val="41B71EFB"/>
    <w:multiLevelType w:val="hybridMultilevel"/>
    <w:lvl w:ilvl="0">
      <w:lvlJc w:val="left"/>
      <w:lvlText w:val="%1."/>
      <w:numFmt w:val="decimal"/>
      <w:start w:val="5"/>
    </w:lvl>
    <w:lvl w:ilvl="1">
      <w:lvlJc w:val="left"/>
      <w:lvlText w:val="(%2)"/>
      <w:numFmt w:val="lowerLetter"/>
      <w:start w:val="2"/>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2026-05-18T12:02:13Z</dcterms:created>
  <dcterms:modified xsi:type="dcterms:W3CDTF">2026-05-18T12:02:13Z</dcterms:modified>
</cp:coreProperties>
</file>